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3A58" w:rsidRPr="00763A58" w:rsidRDefault="00763A58" w:rsidP="00433D9A">
      <w:pPr>
        <w:spacing w:before="100" w:beforeAutospacing="1" w:after="100" w:afterAutospacing="1"/>
        <w:jc w:val="center"/>
        <w:rPr>
          <w:rFonts w:eastAsia="Times New Roman" w:cs="Times New Roman"/>
          <w:kern w:val="0"/>
          <w14:ligatures w14:val="none"/>
        </w:rPr>
      </w:pPr>
      <w:r w:rsidRPr="00763A58">
        <w:rPr>
          <w:rFonts w:eastAsia="Times New Roman" w:cs="Times New Roman"/>
          <w:b/>
          <w:bCs/>
          <w:kern w:val="0"/>
          <w14:ligatures w14:val="none"/>
        </w:rPr>
        <w:t xml:space="preserve">На пути к согласованности и недопущению подрыва: политические рекомендации по реализации Соглашения </w:t>
      </w:r>
      <w:r w:rsidR="0054271B">
        <w:rPr>
          <w:rFonts w:eastAsia="Times New Roman" w:cs="Times New Roman"/>
          <w:b/>
          <w:bCs/>
          <w:kern w:val="0"/>
          <w:lang w:val="ru-RU"/>
          <w14:ligatures w14:val="none"/>
        </w:rPr>
        <w:t xml:space="preserve">о морском биоразнообразии районов за пределами действия национальной юрисдикции </w:t>
      </w:r>
      <w:r w:rsidR="0054271B" w:rsidRPr="0054271B">
        <w:rPr>
          <w:rFonts w:eastAsia="Times New Roman" w:cs="Times New Roman"/>
          <w:b/>
          <w:bCs/>
          <w:kern w:val="0"/>
          <w:lang w:val="ru-RU"/>
          <w14:ligatures w14:val="none"/>
        </w:rPr>
        <w:t>(</w:t>
      </w:r>
      <w:r w:rsidR="0054271B">
        <w:rPr>
          <w:rFonts w:eastAsia="Times New Roman" w:cs="Times New Roman"/>
          <w:b/>
          <w:bCs/>
          <w:kern w:val="0"/>
          <w:lang w:val="ru-RU"/>
          <w14:ligatures w14:val="none"/>
        </w:rPr>
        <w:t xml:space="preserve">Соглашение </w:t>
      </w:r>
      <w:r w:rsidR="0054271B" w:rsidRPr="00763A58">
        <w:rPr>
          <w:rFonts w:eastAsia="Times New Roman" w:cs="Times New Roman"/>
          <w:b/>
          <w:bCs/>
          <w:kern w:val="0"/>
          <w14:ligatures w14:val="none"/>
        </w:rPr>
        <w:t>BBNJ</w:t>
      </w:r>
      <w:r w:rsidR="0054271B">
        <w:rPr>
          <w:rFonts w:eastAsia="Times New Roman" w:cs="Times New Roman"/>
          <w:b/>
          <w:bCs/>
          <w:kern w:val="0"/>
          <w:lang w:val="ru-RU"/>
          <w14:ligatures w14:val="none"/>
        </w:rPr>
        <w:t>, далее Соглашение</w:t>
      </w:r>
      <w:r w:rsidR="0054271B" w:rsidRPr="0054271B">
        <w:rPr>
          <w:rFonts w:eastAsia="Times New Roman" w:cs="Times New Roman"/>
          <w:b/>
          <w:bCs/>
          <w:kern w:val="0"/>
          <w:lang w:val="ru-RU"/>
          <w14:ligatures w14:val="none"/>
        </w:rPr>
        <w:t>)</w:t>
      </w:r>
      <w:r w:rsidR="0054271B">
        <w:rPr>
          <w:rFonts w:eastAsia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763A58">
        <w:rPr>
          <w:rFonts w:eastAsia="Times New Roman" w:cs="Times New Roman"/>
          <w:b/>
          <w:bCs/>
          <w:kern w:val="0"/>
          <w14:ligatures w14:val="none"/>
        </w:rPr>
        <w:t>в части морских генетических ресурсов</w:t>
      </w:r>
      <w:r w:rsidRPr="00763A58">
        <w:rPr>
          <w:rFonts w:eastAsia="Times New Roman" w:cs="Times New Roman"/>
          <w:kern w:val="0"/>
          <w14:ligatures w14:val="none"/>
        </w:rPr>
        <w:br/>
      </w:r>
    </w:p>
    <w:p w:rsidR="00763A58" w:rsidRPr="00763A58" w:rsidRDefault="00763A58" w:rsidP="00142524">
      <w:pPr>
        <w:spacing w:before="100" w:beforeAutospacing="1" w:after="100" w:afterAutospacing="1"/>
        <w:jc w:val="both"/>
        <w:rPr>
          <w:rFonts w:eastAsia="Times New Roman" w:cs="Times New Roman"/>
          <w:kern w:val="0"/>
          <w14:ligatures w14:val="none"/>
        </w:rPr>
      </w:pPr>
      <w:r w:rsidRPr="00763A58">
        <w:rPr>
          <w:rFonts w:eastAsia="Times New Roman" w:cs="Times New Roman"/>
          <w:kern w:val="0"/>
          <w14:ligatures w14:val="none"/>
        </w:rPr>
        <w:t>Настоящая аналитическая записка (</w:t>
      </w:r>
      <w:r w:rsidRPr="00763A58">
        <w:rPr>
          <w:rFonts w:eastAsia="Times New Roman" w:cs="Times New Roman"/>
          <w:i/>
          <w:iCs/>
          <w:kern w:val="0"/>
          <w14:ligatures w14:val="none"/>
        </w:rPr>
        <w:t>Policy Brief</w:t>
      </w:r>
      <w:r w:rsidRPr="00763A58">
        <w:rPr>
          <w:rFonts w:eastAsia="Times New Roman" w:cs="Times New Roman"/>
          <w:kern w:val="0"/>
          <w14:ligatures w14:val="none"/>
        </w:rPr>
        <w:t>) содержит целенаправленные рекомендации по реализации положений Соглашения, касающихся инструментов, рамочных механизмов и органов (</w:t>
      </w:r>
      <w:r w:rsidR="006C44F1">
        <w:rPr>
          <w:rFonts w:eastAsia="Times New Roman" w:cs="Times New Roman"/>
          <w:kern w:val="0"/>
          <w:lang w:val="ru-RU"/>
          <w14:ligatures w14:val="none"/>
        </w:rPr>
        <w:t xml:space="preserve">далее </w:t>
      </w:r>
      <w:r w:rsidRPr="00763A58">
        <w:rPr>
          <w:rFonts w:eastAsia="Times New Roman" w:cs="Times New Roman"/>
          <w:kern w:val="0"/>
          <w14:ligatures w14:val="none"/>
        </w:rPr>
        <w:t>ИРО), а также морских генетических ресурсов (</w:t>
      </w:r>
      <w:r w:rsidR="00F424E0">
        <w:rPr>
          <w:rFonts w:eastAsia="Times New Roman" w:cs="Times New Roman"/>
          <w:kern w:val="0"/>
          <w:lang w:val="ru-RU"/>
          <w14:ligatures w14:val="none"/>
        </w:rPr>
        <w:t xml:space="preserve">далее </w:t>
      </w:r>
      <w:r w:rsidRPr="00763A58">
        <w:rPr>
          <w:rFonts w:eastAsia="Times New Roman" w:cs="Times New Roman"/>
          <w:kern w:val="0"/>
          <w14:ligatures w14:val="none"/>
        </w:rPr>
        <w:t xml:space="preserve">МГР), с особым акцентом на подходах, согласующихся с принципом </w:t>
      </w:r>
      <w:r w:rsidRPr="00763A58">
        <w:rPr>
          <w:rFonts w:eastAsia="Times New Roman" w:cs="Times New Roman"/>
          <w:i/>
          <w:iCs/>
          <w:kern w:val="0"/>
          <w14:ligatures w14:val="none"/>
        </w:rPr>
        <w:t>общего наследия человечества</w:t>
      </w:r>
      <w:r w:rsidRPr="00763A58">
        <w:rPr>
          <w:rFonts w:eastAsia="Times New Roman" w:cs="Times New Roman"/>
          <w:kern w:val="0"/>
          <w14:ligatures w14:val="none"/>
        </w:rPr>
        <w:t>, закреплённым в Конвенции, и обеспечивающих ответственное управление в интересах будущих поколений.</w:t>
      </w:r>
    </w:p>
    <w:p w:rsidR="00763A58" w:rsidRPr="00763A58" w:rsidRDefault="00763A58" w:rsidP="00142524">
      <w:pPr>
        <w:spacing w:before="100" w:beforeAutospacing="1" w:after="100" w:afterAutospacing="1"/>
        <w:jc w:val="both"/>
        <w:rPr>
          <w:rFonts w:eastAsia="Times New Roman" w:cs="Times New Roman"/>
          <w:kern w:val="0"/>
          <w14:ligatures w14:val="none"/>
        </w:rPr>
      </w:pPr>
      <w:r w:rsidRPr="00763A58">
        <w:rPr>
          <w:rFonts w:eastAsia="Times New Roman" w:cs="Times New Roman"/>
          <w:kern w:val="0"/>
          <w14:ligatures w14:val="none"/>
        </w:rPr>
        <w:t>Эти рекомендации могут представлять интерес для правительственных переговорщиков, международных организаций, межправительственных и региональных органов, секретариатов договоров, гражданского общества, промышленности, коренных народов, местных сообществ, а также научного сообщества.</w:t>
      </w:r>
    </w:p>
    <w:p w:rsidR="00763A58" w:rsidRPr="00763A58" w:rsidRDefault="00616F57" w:rsidP="00763A58">
      <w:pPr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</w:rPr>
        <w:pict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:rsidR="00763A58" w:rsidRPr="00763A58" w:rsidRDefault="00763A58" w:rsidP="00142524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763A58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Ключевые положения</w:t>
      </w:r>
    </w:p>
    <w:p w:rsidR="00763A58" w:rsidRPr="00142524" w:rsidRDefault="00763A58" w:rsidP="008F05B5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kern w:val="0"/>
          <w14:ligatures w14:val="none"/>
        </w:rPr>
      </w:pPr>
      <w:r w:rsidRPr="00142524">
        <w:rPr>
          <w:kern w:val="0"/>
          <w14:ligatures w14:val="none"/>
        </w:rPr>
        <w:t xml:space="preserve">Обязательства по </w:t>
      </w:r>
      <w:r w:rsidRPr="00142524">
        <w:rPr>
          <w:i/>
          <w:iCs/>
          <w:kern w:val="0"/>
          <w14:ligatures w14:val="none"/>
        </w:rPr>
        <w:t>недопущению подрыва</w:t>
      </w:r>
      <w:r w:rsidRPr="00142524">
        <w:rPr>
          <w:kern w:val="0"/>
          <w14:ligatures w14:val="none"/>
        </w:rPr>
        <w:t xml:space="preserve">, а также по обеспечению </w:t>
      </w:r>
      <w:r w:rsidRPr="00142524">
        <w:rPr>
          <w:i/>
          <w:iCs/>
          <w:kern w:val="0"/>
          <w14:ligatures w14:val="none"/>
        </w:rPr>
        <w:t>согласованности и координации</w:t>
      </w:r>
      <w:r w:rsidRPr="00142524">
        <w:rPr>
          <w:kern w:val="0"/>
          <w14:ligatures w14:val="none"/>
        </w:rPr>
        <w:t>, закреплённые в Соглашении, создают основу для укрепления новых форм участия и сотрудничества между правовыми режимами, включая справедливые и беспристрастные подходы к МГР, защиту прав и интересов существующих заинтересованных сторон и улучшение межпоколенческого равенства.</w:t>
      </w:r>
    </w:p>
    <w:p w:rsidR="00763A58" w:rsidRPr="00142524" w:rsidRDefault="00763A58" w:rsidP="008F05B5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kern w:val="0"/>
          <w14:ligatures w14:val="none"/>
        </w:rPr>
      </w:pPr>
      <w:r w:rsidRPr="00142524">
        <w:rPr>
          <w:kern w:val="0"/>
          <w14:ligatures w14:val="none"/>
        </w:rPr>
        <w:t>Децентрализованные федеративные сети и многоуровневые модели управления могут способствовать снижению риска конфликтов между режимами, укреплению взаимодополняемости, а также развитию стратегических связей и сотрудничества.</w:t>
      </w:r>
    </w:p>
    <w:p w:rsidR="00763A58" w:rsidRPr="00142524" w:rsidRDefault="00763A58" w:rsidP="008F05B5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kern w:val="0"/>
          <w14:ligatures w14:val="none"/>
        </w:rPr>
      </w:pPr>
      <w:r w:rsidRPr="00142524">
        <w:rPr>
          <w:kern w:val="0"/>
          <w14:ligatures w14:val="none"/>
        </w:rPr>
        <w:t>Рекомендуются как первоочередные, так и долгосрочные меры, которые могут направлять реализацию Соглашения и одновременно влиять на формирующиеся процессы принятия решений и практику в других областях.</w:t>
      </w:r>
    </w:p>
    <w:p w:rsidR="00763A58" w:rsidRPr="00142524" w:rsidRDefault="00763A58" w:rsidP="008F05B5">
      <w:pPr>
        <w:pStyle w:val="ListParagraph"/>
        <w:numPr>
          <w:ilvl w:val="0"/>
          <w:numId w:val="9"/>
        </w:numPr>
        <w:spacing w:before="100" w:beforeAutospacing="1" w:after="100" w:afterAutospacing="1"/>
        <w:jc w:val="both"/>
        <w:rPr>
          <w:kern w:val="0"/>
          <w14:ligatures w14:val="none"/>
        </w:rPr>
      </w:pPr>
      <w:r w:rsidRPr="00142524">
        <w:rPr>
          <w:kern w:val="0"/>
          <w14:ligatures w14:val="none"/>
        </w:rPr>
        <w:t>14 рекомендаций касаются следующих аспектов:</w:t>
      </w:r>
    </w:p>
    <w:p w:rsidR="00763A58" w:rsidRPr="00763A58" w:rsidRDefault="00763A58" w:rsidP="0014252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763A58">
        <w:rPr>
          <w:rFonts w:eastAsia="Times New Roman" w:cs="Times New Roman"/>
          <w:kern w:val="0"/>
          <w14:ligatures w14:val="none"/>
        </w:rPr>
        <w:t>Общего управления и сотрудничества</w:t>
      </w:r>
    </w:p>
    <w:p w:rsidR="00763A58" w:rsidRPr="00763A58" w:rsidRDefault="00763A58" w:rsidP="0014252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763A58">
        <w:rPr>
          <w:rFonts w:eastAsia="Times New Roman" w:cs="Times New Roman"/>
          <w:kern w:val="0"/>
          <w14:ligatures w14:val="none"/>
        </w:rPr>
        <w:t>Гармонизации работы по механизмам распределения выгод</w:t>
      </w:r>
    </w:p>
    <w:p w:rsidR="00763A58" w:rsidRPr="00763A58" w:rsidRDefault="00763A58" w:rsidP="0014252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763A58">
        <w:rPr>
          <w:rFonts w:eastAsia="Times New Roman" w:cs="Times New Roman"/>
          <w:kern w:val="0"/>
          <w14:ligatures w14:val="none"/>
        </w:rPr>
        <w:t>Инклюзивного участия</w:t>
      </w:r>
    </w:p>
    <w:p w:rsidR="00763A58" w:rsidRPr="00763A58" w:rsidRDefault="00763A58" w:rsidP="0014252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763A58">
        <w:rPr>
          <w:rFonts w:eastAsia="Times New Roman" w:cs="Times New Roman"/>
          <w:kern w:val="0"/>
          <w14:ligatures w14:val="none"/>
        </w:rPr>
        <w:t>Мониторинга, реализации и подотчётности</w:t>
      </w:r>
    </w:p>
    <w:p w:rsidR="00763A58" w:rsidRPr="00763A58" w:rsidRDefault="00763A58" w:rsidP="00142524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  <w:r w:rsidRPr="00763A58">
        <w:rPr>
          <w:rFonts w:eastAsia="Times New Roman" w:cs="Times New Roman"/>
          <w:kern w:val="0"/>
          <w14:ligatures w14:val="none"/>
        </w:rPr>
        <w:t>Практических последующих шагов</w:t>
      </w:r>
    </w:p>
    <w:p w:rsidR="00142524" w:rsidRDefault="00142524" w:rsidP="00763A58">
      <w:pPr>
        <w:spacing w:before="100" w:beforeAutospacing="1" w:after="100" w:afterAutospacing="1"/>
        <w:rPr>
          <w:rFonts w:eastAsia="Times New Roman" w:cs="Times New Roman"/>
          <w:kern w:val="0"/>
          <w14:ligatures w14:val="none"/>
        </w:rPr>
      </w:pPr>
    </w:p>
    <w:p w:rsidR="00763A58" w:rsidRPr="00142524" w:rsidRDefault="00763A58" w:rsidP="0014252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kern w:val="0"/>
          <w14:ligatures w14:val="none"/>
        </w:rPr>
      </w:pPr>
      <w:r w:rsidRPr="00142524">
        <w:rPr>
          <w:kern w:val="0"/>
          <w14:ligatures w14:val="none"/>
        </w:rPr>
        <w:lastRenderedPageBreak/>
        <w:t>К числу приоритетных действий относится разработка механизмов распределения выгод и чётких руководящих указаний в отношении раскрытия происхождения МГР и цифровой последовательностной информации (</w:t>
      </w:r>
      <w:r w:rsidR="00F424E0">
        <w:rPr>
          <w:kern w:val="0"/>
          <w:lang w:val="ru-RU"/>
          <w14:ligatures w14:val="none"/>
        </w:rPr>
        <w:t>далее ЦПИ</w:t>
      </w:r>
      <w:r w:rsidRPr="00142524">
        <w:rPr>
          <w:kern w:val="0"/>
          <w14:ligatures w14:val="none"/>
        </w:rPr>
        <w:t>).</w:t>
      </w:r>
    </w:p>
    <w:p w:rsidR="00763A58" w:rsidRPr="00B05A49" w:rsidRDefault="00763A58" w:rsidP="00763A58">
      <w:pPr>
        <w:pStyle w:val="Heading2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B05A49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Предпосылки</w:t>
      </w:r>
    </w:p>
    <w:p w:rsidR="00763A58" w:rsidRDefault="00763A58" w:rsidP="008F05B5">
      <w:pPr>
        <w:pStyle w:val="NormalWeb"/>
        <w:jc w:val="both"/>
      </w:pPr>
      <w:r>
        <w:t xml:space="preserve">Соглашение о сохранении и устойчивом использовании морского биологического разнообразия районов за пределами национальной юрисдикции (Соглашение), принятое в 2023 году в рамках Конвенции Организации Объединённых Наций по морскому праву (ЮНКЛОС), вступит в силу в январе 2026 года. Цель Соглашения состоит в том, чтобы «обеспечить сохранение и устойчивое использование морского биологического разнообразия районов за пределами национальной юрисдикции в настоящее время и в долгосрочной перспективе посредством эффективного осуществления соответствующих положений Конвенции», </w:t>
      </w:r>
      <w:r w:rsidRPr="00F60A38">
        <w:t>а также, что существенно, «укреплять международное сотрудничество и координацию» (ст. 2).</w:t>
      </w:r>
    </w:p>
    <w:p w:rsidR="00763A58" w:rsidRPr="00F60A38" w:rsidRDefault="00763A58" w:rsidP="008F05B5">
      <w:pPr>
        <w:pStyle w:val="NormalWeb"/>
        <w:jc w:val="both"/>
      </w:pPr>
      <w:r>
        <w:t xml:space="preserve">Без эффективного межинституционального взаимодействия режимы, регулирующие одни и те же географические районы или виды деятельности, могут включать потенциально противоречивые правила и процедуры. Такая фрагментация может создавать практические трудности для государств, политиков, научного сообщества, промышленности и гражданского общества, а также нести риск </w:t>
      </w:r>
      <w:r w:rsidR="00F60A38">
        <w:rPr>
          <w:lang w:val="ru-RU"/>
        </w:rPr>
        <w:t>«</w:t>
      </w:r>
      <w:r w:rsidRPr="00F60A38">
        <w:rPr>
          <w:rStyle w:val="Emphasis"/>
          <w:i w:val="0"/>
          <w:iCs w:val="0"/>
        </w:rPr>
        <w:t>форум-шопинга</w:t>
      </w:r>
      <w:r w:rsidR="00F60A38">
        <w:rPr>
          <w:rStyle w:val="Emphasis"/>
          <w:i w:val="0"/>
          <w:iCs w:val="0"/>
          <w:lang w:val="ru-RU"/>
        </w:rPr>
        <w:t>»</w:t>
      </w:r>
      <w:r w:rsidRPr="00F60A38">
        <w:t xml:space="preserve"> или </w:t>
      </w:r>
      <w:r w:rsidR="00F60A38">
        <w:rPr>
          <w:lang w:val="ru-RU"/>
        </w:rPr>
        <w:t>«</w:t>
      </w:r>
      <w:r w:rsidRPr="00F60A38">
        <w:rPr>
          <w:rStyle w:val="Emphasis"/>
          <w:i w:val="0"/>
          <w:iCs w:val="0"/>
        </w:rPr>
        <w:t>гонки ко дну</w:t>
      </w:r>
      <w:r w:rsidR="00F60A38">
        <w:rPr>
          <w:rStyle w:val="Emphasis"/>
          <w:i w:val="0"/>
          <w:iCs w:val="0"/>
          <w:lang w:val="ru-RU"/>
        </w:rPr>
        <w:t>»</w:t>
      </w:r>
      <w:r w:rsidRPr="00F60A38">
        <w:rPr>
          <w:i/>
          <w:iCs/>
        </w:rPr>
        <w:t xml:space="preserve"> </w:t>
      </w:r>
      <w:r w:rsidRPr="00F60A38">
        <w:t>в регуляторной практике.</w:t>
      </w:r>
    </w:p>
    <w:p w:rsidR="00763A58" w:rsidRDefault="00763A58" w:rsidP="008F05B5">
      <w:pPr>
        <w:pStyle w:val="NormalWeb"/>
        <w:jc w:val="both"/>
      </w:pPr>
      <w:r>
        <w:t xml:space="preserve">Для предотвращения этого Соглашение включает двустороннее обязательство координации, согласованности и </w:t>
      </w:r>
      <w:r>
        <w:rPr>
          <w:rStyle w:val="Emphasis"/>
        </w:rPr>
        <w:t>недопущения подрыва</w:t>
      </w:r>
      <w:r>
        <w:t xml:space="preserve"> соответствующих правовых ИРО, одновременно требуя от государств продвигать цели </w:t>
      </w:r>
      <w:r w:rsidR="0054271B">
        <w:rPr>
          <w:lang w:val="ru-RU"/>
        </w:rPr>
        <w:t>Соглашения</w:t>
      </w:r>
      <w:r>
        <w:t xml:space="preserve"> при участии в ИРО (ст. 5(2) и 8).</w:t>
      </w:r>
    </w:p>
    <w:p w:rsidR="00F60A38" w:rsidRDefault="00F60A38" w:rsidP="008F05B5">
      <w:pPr>
        <w:pStyle w:val="NormalWeb"/>
        <w:jc w:val="both"/>
      </w:pPr>
      <w:r>
        <w:t>Эти положения, при всей ясности их целевой направленности, не содержат детализированных шагов по их практической реализации. Вместе с тем они открывают значимые возможности. Соглашение BBNJ подлежит толкованию в соответствии с Конвенцией ООН по морскому праву (статья 5(1)), а недавние консультативные заключения Международного суда ООН (2025 г.), Международного трибунала по морскому праву (2024 г.) и Камеры по спорам, касающимся морского дна (2011 г.), относительно обязанностей и ответственности государств в Районе (глубоководном морском дне), находящемся за пределами национальной юрисдикции, подтверждают важность согласованности между режимами, включая управление глобальными общими благами и обеспечение межпоколенческой справедливости.</w:t>
      </w:r>
      <w:r>
        <w:t xml:space="preserve"> </w:t>
      </w:r>
    </w:p>
    <w:p w:rsidR="00763A58" w:rsidRDefault="00763A58" w:rsidP="008F05B5">
      <w:pPr>
        <w:pStyle w:val="NormalWeb"/>
        <w:jc w:val="both"/>
      </w:pPr>
      <w:r>
        <w:t xml:space="preserve">Соглашение учреждает инновационную систему с передовыми положениями о доступе и распределении выгод (ст. 9–15). Реализация Соглашения в свете обязательств по недопущению подрыва и согласованности может сформировать новые </w:t>
      </w:r>
      <w:r>
        <w:rPr>
          <w:rStyle w:val="Emphasis"/>
        </w:rPr>
        <w:t>связующие механизмы</w:t>
      </w:r>
      <w:r>
        <w:t xml:space="preserve"> между </w:t>
      </w:r>
      <w:r w:rsidRPr="00F60A38">
        <w:t xml:space="preserve">институциями [fn1]. Это особенно важно для управления МГР и </w:t>
      </w:r>
      <w:r w:rsidR="00F424E0" w:rsidRPr="00F60A38">
        <w:rPr>
          <w:lang w:val="ru-RU"/>
        </w:rPr>
        <w:t>ЦПИ</w:t>
      </w:r>
      <w:r w:rsidRPr="00F60A38">
        <w:t xml:space="preserve"> районов за пределами национальной юрисдикции (</w:t>
      </w:r>
      <w:r w:rsidR="0054271B" w:rsidRPr="00F60A38">
        <w:rPr>
          <w:lang w:val="ru-RU"/>
        </w:rPr>
        <w:t>далее РПНЮ</w:t>
      </w:r>
      <w:r w:rsidRPr="00F60A38">
        <w:t>) в условиях разнообразного ландшафта ИРО, регулирующих распределение выгод, науку, управление глобальными достояниями и интеллектуальную собственность (см. Рисунок 1).</w:t>
      </w:r>
      <w:r>
        <w:t xml:space="preserve"> </w:t>
      </w:r>
      <w:r>
        <w:lastRenderedPageBreak/>
        <w:t>Использование возможностей искусственного интеллекта для картирования точек соприкосновения и расхождений может поддержать этот процесс.</w:t>
      </w:r>
    </w:p>
    <w:p w:rsidR="00763A58" w:rsidRDefault="00763A58" w:rsidP="008F05B5">
      <w:pPr>
        <w:pStyle w:val="NormalWeb"/>
        <w:jc w:val="both"/>
      </w:pPr>
      <w:r>
        <w:t>Соглашение</w:t>
      </w:r>
      <w:r w:rsidR="006C44F1">
        <w:rPr>
          <w:lang w:val="ru-RU"/>
        </w:rPr>
        <w:t xml:space="preserve"> </w:t>
      </w:r>
      <w:r>
        <w:t xml:space="preserve">предусматривает активное взаимодействие своего Комитета по доступу и распределению выгод, Научно-технического органа, а также </w:t>
      </w:r>
      <w:r w:rsidRPr="006C44F1">
        <w:t>Механизма посредничества</w:t>
      </w:r>
      <w:r w:rsidR="006C44F1" w:rsidRPr="006C44F1">
        <w:rPr>
          <w:lang w:val="ru-RU"/>
        </w:rPr>
        <w:t xml:space="preserve"> </w:t>
      </w:r>
      <w:r w:rsidRPr="006C44F1">
        <w:t>(CHM)</w:t>
      </w:r>
      <w:r>
        <w:t xml:space="preserve"> с ИРО посредством консультаций, сотрудничества и мер по обеспечению прозрачности (ст. 15(5), 49(3), 51(3)(c)–(f), 51(4)). Это может обеспечить двойной эффект: гарантию того, что реализация </w:t>
      </w:r>
      <w:r w:rsidR="006C44F1">
        <w:rPr>
          <w:lang w:val="ru-RU"/>
        </w:rPr>
        <w:t xml:space="preserve">Соглашения </w:t>
      </w:r>
      <w:r>
        <w:t>будет усиливать, а не дублировать деятельность ИРО, и одновременно способствовать раннему диалогу и взаимному обучению.</w:t>
      </w:r>
    </w:p>
    <w:p w:rsidR="00763A58" w:rsidRDefault="00763A58" w:rsidP="008F05B5">
      <w:pPr>
        <w:pStyle w:val="NormalWeb"/>
        <w:jc w:val="both"/>
      </w:pPr>
      <w:r w:rsidRPr="0030058B">
        <w:t xml:space="preserve">Настоящая аналитическая записка также дополняет процессы, происходящие на момент подготовки (2025 г.) в Подготовительной комиссии </w:t>
      </w:r>
      <w:r w:rsidR="006C44F1" w:rsidRPr="0030058B">
        <w:rPr>
          <w:lang w:val="ru-RU"/>
        </w:rPr>
        <w:t>Соглашения</w:t>
      </w:r>
      <w:r w:rsidRPr="0030058B">
        <w:t xml:space="preserve"> в отношении ИРО [fn2]; аналитические материалы других ИРО о пересечениях их деятельности с Соглашением (в частности </w:t>
      </w:r>
      <w:r w:rsidR="00F60A38" w:rsidRPr="0030058B">
        <w:rPr>
          <w:rStyle w:val="Strong"/>
          <w:b w:val="0"/>
          <w:bCs w:val="0"/>
          <w:lang w:val="ru-RU"/>
        </w:rPr>
        <w:t>КБР</w:t>
      </w:r>
      <w:r w:rsidRPr="0030058B">
        <w:rPr>
          <w:b/>
          <w:bCs/>
        </w:rPr>
        <w:t xml:space="preserve">, </w:t>
      </w:r>
      <w:r w:rsidR="00F60A38" w:rsidRPr="0030058B">
        <w:rPr>
          <w:rStyle w:val="Strong"/>
          <w:b w:val="0"/>
          <w:bCs w:val="0"/>
          <w:lang w:val="ru-RU"/>
        </w:rPr>
        <w:t>МОМД</w:t>
      </w:r>
      <w:r w:rsidRPr="0030058B">
        <w:rPr>
          <w:b/>
          <w:bCs/>
        </w:rPr>
        <w:t xml:space="preserve"> и </w:t>
      </w:r>
      <w:r w:rsidR="0030058B" w:rsidRPr="0030058B">
        <w:rPr>
          <w:rStyle w:val="Strong"/>
          <w:b w:val="0"/>
          <w:bCs w:val="0"/>
          <w:lang w:val="ru-RU"/>
        </w:rPr>
        <w:t>РКИК ООН</w:t>
      </w:r>
      <w:r w:rsidR="0030058B" w:rsidRPr="0030058B">
        <w:rPr>
          <w:rStyle w:val="Strong"/>
          <w:lang w:val="ru-RU"/>
        </w:rPr>
        <w:t xml:space="preserve"> </w:t>
      </w:r>
      <w:r w:rsidRPr="0030058B">
        <w:t xml:space="preserve">[fn3]; а также обсуждения влияния деятельности в других ИРО на реализацию </w:t>
      </w:r>
      <w:r w:rsidR="006C44F1" w:rsidRPr="0030058B">
        <w:rPr>
          <w:lang w:val="ru-RU"/>
        </w:rPr>
        <w:t xml:space="preserve">Соглашения </w:t>
      </w:r>
      <w:r w:rsidRPr="0030058B">
        <w:t xml:space="preserve">(например, Биобанк </w:t>
      </w:r>
      <w:r w:rsidR="0030058B" w:rsidRPr="0030058B">
        <w:rPr>
          <w:lang w:val="ru-RU"/>
        </w:rPr>
        <w:t>МОМД</w:t>
      </w:r>
      <w:r w:rsidRPr="0030058B">
        <w:t>) [fn4].</w:t>
      </w:r>
    </w:p>
    <w:p w:rsidR="00763A58" w:rsidRDefault="00616F57" w:rsidP="00763A58">
      <w:r>
        <w:rPr>
          <w:noProof/>
        </w:rPr>
        <w:pict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:rsidR="00763A58" w:rsidRDefault="00763A58" w:rsidP="008F05B5">
      <w:pPr>
        <w:pStyle w:val="NormalWeb"/>
        <w:jc w:val="both"/>
      </w:pPr>
      <w:r>
        <w:rPr>
          <w:rStyle w:val="Strong"/>
        </w:rPr>
        <w:t>Fn1</w:t>
      </w:r>
      <w:r>
        <w:t xml:space="preserve"> Другие положения Соглашения, относящиеся к взаимодействию с другими режимами и выходящие за рамки данной записки: ст. 10(2) (Рыболовство); ст. 29 (Оценка воздействия на окружающую среду); ст. 41(1), 41(2), 42(3) и Приложение II d (ix) (Наращивание потенциала и передача морских технологий).</w:t>
      </w:r>
    </w:p>
    <w:p w:rsidR="00763A58" w:rsidRDefault="00763A58" w:rsidP="008F05B5">
      <w:pPr>
        <w:pStyle w:val="NormalWeb"/>
        <w:jc w:val="both"/>
      </w:pPr>
      <w:r w:rsidRPr="0030058B">
        <w:rPr>
          <w:rStyle w:val="Strong"/>
        </w:rPr>
        <w:t>Fn2</w:t>
      </w:r>
      <w:r w:rsidRPr="0030058B">
        <w:t xml:space="preserve"> Материалы Подготовительной комиссии по ИРО: A/AC.296/2024/3 (II 6(c)); A/AC.296/2024/3 (1(8) II(2)); A/AC.296/2025/16; проект решения, ожидаемый к рассмотрению на третьем заседании Подготовительной комиссии.</w:t>
      </w:r>
    </w:p>
    <w:p w:rsidR="0030058B" w:rsidRDefault="00763A58" w:rsidP="008F05B5">
      <w:pPr>
        <w:pStyle w:val="rnc2gd"/>
        <w:jc w:val="both"/>
      </w:pPr>
      <w:r w:rsidRPr="0030058B">
        <w:rPr>
          <w:b/>
          <w:bCs/>
        </w:rPr>
        <w:t>Fn3</w:t>
      </w:r>
      <w:r>
        <w:t xml:space="preserve"> </w:t>
      </w:r>
      <w:r w:rsidRPr="0030058B">
        <w:t>«</w:t>
      </w:r>
      <w:r w:rsidR="0030058B" w:rsidRPr="0030058B">
        <w:t>Горизонтальный о</w:t>
      </w:r>
      <w:r w:rsidRPr="0030058B">
        <w:t>бзор возможных связей между Соглашением и многосторонними экологическими соглашениями</w:t>
      </w:r>
      <w:r w:rsidR="0030058B" w:rsidRPr="0030058B">
        <w:t xml:space="preserve"> (МПС), связанными с биоразнообразием/ ЮНЕП – Программа ООН по окружающей среде (2025)</w:t>
      </w:r>
      <w:r w:rsidRPr="0030058B">
        <w:t xml:space="preserve">» </w:t>
      </w:r>
      <w:r>
        <w:t>«</w:t>
      </w:r>
      <w:r w:rsidRPr="0030058B">
        <w:t xml:space="preserve">Обзор вклада Международного органа по морскому дну </w:t>
      </w:r>
      <w:r w:rsidR="0030058B" w:rsidRPr="0030058B">
        <w:t>по</w:t>
      </w:r>
      <w:r w:rsidRPr="0030058B">
        <w:t xml:space="preserve"> реализаци</w:t>
      </w:r>
      <w:r w:rsidR="0030058B" w:rsidRPr="0030058B">
        <w:t>и</w:t>
      </w:r>
      <w:r w:rsidRPr="0030058B">
        <w:t xml:space="preserve"> целей </w:t>
      </w:r>
      <w:r w:rsidR="0030058B" w:rsidRPr="0030058B">
        <w:t>Соглашения 2023 года в рамках Конвенции Организации Объединенных Наций по морскому праву о сохранении и устойчивом использовании морского биологического разнообразия районов за пределами национальной юрисдикции» (2024 г.)</w:t>
      </w:r>
      <w:r>
        <w:t xml:space="preserve">; </w:t>
      </w:r>
      <w:r w:rsidR="0030058B" w:rsidRPr="0030058B">
        <w:t>КБР (Конвенция о биологическом разнообразии) «Работа в рамках Конвенции о биологическом разнообразии (КБР), имеющая отношение к Соглашению в рамках ЮНКЛОС (Конвенция Организации Объединенных Наций по морскому праву) о сохранении и устойчивом использовании морского биологического разнообразия районов за пределами национальной юрисдикции (Соглашение о BBNJ)» и Семинар экспертов Секретариата КБР (2025 г.);</w:t>
      </w:r>
      <w:r w:rsidR="0030058B" w:rsidRPr="0030058B">
        <w:t xml:space="preserve"> </w:t>
      </w:r>
      <w:r w:rsidR="0030058B" w:rsidRPr="0030058B">
        <w:t>РКИКООН (Рамочная конвенция Организации Объединенных Наций об изменении климата) «Неофициальный краткий доклад содействующих сторон Диалога 2025 года по океану и изменению климата» (2025 г.).</w:t>
      </w:r>
    </w:p>
    <w:p w:rsidR="00763A58" w:rsidRDefault="00763A58" w:rsidP="0030058B">
      <w:pPr>
        <w:pStyle w:val="rnc2gd"/>
      </w:pPr>
      <w:r>
        <w:rPr>
          <w:rStyle w:val="Strong"/>
        </w:rPr>
        <w:t>Fn4</w:t>
      </w:r>
      <w:r>
        <w:t xml:space="preserve"> «Международный орган по морскому дну запускает инициативу </w:t>
      </w:r>
      <w:r w:rsidRPr="00B05A49">
        <w:t>Deep-Sea Biobank</w:t>
      </w:r>
      <w:r>
        <w:t xml:space="preserve"> для расширения глобального доступа к глубоководным биологическим образцам и генетическим данным» (2025).</w:t>
      </w:r>
    </w:p>
    <w:p w:rsidR="00763A58" w:rsidRPr="0019090A" w:rsidRDefault="0019090A" w:rsidP="0019090A">
      <w:pPr>
        <w:pStyle w:val="rnc2gd"/>
        <w:jc w:val="both"/>
      </w:pPr>
      <w:r w:rsidRPr="0019090A">
        <w:lastRenderedPageBreak/>
        <w:t>Рисунок 1: Разнообразные составляющие ландшафта МГР</w:t>
      </w:r>
      <w:r>
        <w:rPr>
          <w:lang w:val="ru-RU"/>
        </w:rPr>
        <w:t xml:space="preserve"> ИРО</w:t>
      </w:r>
      <w:r w:rsidRPr="0019090A">
        <w:t>: с Соглашением о BBNJ в его основе. См. список сокращений на странице 5 для определений.</w:t>
      </w:r>
    </w:p>
    <w:p w:rsidR="008F05B5" w:rsidRDefault="008F05B5">
      <w:pPr>
        <w:rPr>
          <w:b/>
          <w:bCs/>
          <w:sz w:val="32"/>
          <w:szCs w:val="32"/>
        </w:rPr>
      </w:pPr>
    </w:p>
    <w:p w:rsidR="008F05B5" w:rsidRPr="0019090A" w:rsidRDefault="0019090A">
      <w:pPr>
        <w:rPr>
          <w:rFonts w:eastAsia="Times New Roman" w:cs="Times New Roman"/>
          <w:kern w:val="0"/>
          <w:lang w:val="ru-RU"/>
          <w14:ligatures w14:val="none"/>
        </w:rPr>
      </w:pPr>
      <w:r w:rsidRPr="0019090A">
        <w:rPr>
          <w:rFonts w:eastAsia="Times New Roman" w:cs="Times New Roman"/>
          <w:b/>
          <w:bCs/>
          <w:kern w:val="0"/>
          <w14:ligatures w14:val="none"/>
        </w:rPr>
        <w:t>Соглашение</w:t>
      </w:r>
      <w:r w:rsidRPr="0019090A">
        <w:rPr>
          <w:rFonts w:eastAsia="Times New Roman" w:cs="Times New Roman"/>
          <w:kern w:val="0"/>
          <w14:ligatures w14:val="none"/>
        </w:rPr>
        <w:t xml:space="preserve"> – Коренные народы и местные сообщества; </w:t>
      </w:r>
      <w:r w:rsidRPr="0019090A">
        <w:rPr>
          <w:rStyle w:val="Strong"/>
          <w:b w:val="0"/>
          <w:bCs w:val="0"/>
          <w:lang w:val="ru-RU"/>
        </w:rPr>
        <w:t>РКИК ООН</w:t>
      </w:r>
      <w:r w:rsidRPr="0019090A">
        <w:rPr>
          <w:rStyle w:val="Strong"/>
          <w:b w:val="0"/>
          <w:bCs w:val="0"/>
          <w:lang w:val="ru-RU"/>
        </w:rPr>
        <w:t xml:space="preserve">; ВТО; Гражданское общество; </w:t>
      </w:r>
      <w:r w:rsidRPr="0019090A">
        <w:rPr>
          <w:rStyle w:val="Strong"/>
          <w:b w:val="0"/>
          <w:bCs w:val="0"/>
          <w:lang w:val="ru-RU"/>
        </w:rPr>
        <w:t>ИМО</w:t>
      </w:r>
      <w:r w:rsidRPr="0019090A">
        <w:rPr>
          <w:rStyle w:val="Strong"/>
          <w:b w:val="0"/>
          <w:bCs w:val="0"/>
          <w:lang w:val="ru-RU"/>
        </w:rPr>
        <w:t xml:space="preserve">; </w:t>
      </w:r>
      <w:r w:rsidRPr="0019090A">
        <w:rPr>
          <w:rStyle w:val="Strong"/>
          <w:b w:val="0"/>
          <w:bCs w:val="0"/>
          <w:lang w:val="ru-RU"/>
        </w:rPr>
        <w:t>МОМД</w:t>
      </w:r>
      <w:r w:rsidRPr="0019090A">
        <w:rPr>
          <w:rStyle w:val="Strong"/>
          <w:b w:val="0"/>
          <w:bCs w:val="0"/>
          <w:lang w:val="ru-RU"/>
        </w:rPr>
        <w:t xml:space="preserve">; </w:t>
      </w:r>
      <w:r w:rsidRPr="0019090A">
        <w:rPr>
          <w:rStyle w:val="Strong"/>
          <w:b w:val="0"/>
          <w:bCs w:val="0"/>
          <w:lang w:val="ru-RU"/>
        </w:rPr>
        <w:t>ВОИС</w:t>
      </w:r>
      <w:r w:rsidRPr="0019090A">
        <w:rPr>
          <w:rStyle w:val="Strong"/>
          <w:b w:val="0"/>
          <w:bCs w:val="0"/>
          <w:lang w:val="ru-RU"/>
        </w:rPr>
        <w:t xml:space="preserve">; Антарктическая договорная система; ВОЗ; Договор о космосе; Соглашение о Луне; ФАО; </w:t>
      </w:r>
      <w:r w:rsidRPr="0019090A">
        <w:rPr>
          <w:rStyle w:val="Strong"/>
          <w:b w:val="0"/>
          <w:bCs w:val="0"/>
          <w:lang w:val="ru-RU"/>
        </w:rPr>
        <w:t>МОК-ЮНЕСКО</w:t>
      </w:r>
      <w:r w:rsidRPr="0019090A">
        <w:rPr>
          <w:rStyle w:val="Strong"/>
          <w:b w:val="0"/>
          <w:bCs w:val="0"/>
          <w:lang w:val="ru-RU"/>
        </w:rPr>
        <w:t xml:space="preserve">; КБР; </w:t>
      </w:r>
      <w:r w:rsidRPr="0019090A">
        <w:rPr>
          <w:rStyle w:val="Strong"/>
          <w:b w:val="0"/>
          <w:bCs w:val="0"/>
          <w:lang w:val="ru-RU"/>
        </w:rPr>
        <w:t>РФМО</w:t>
      </w:r>
      <w:r w:rsidRPr="0019090A">
        <w:rPr>
          <w:rStyle w:val="Strong"/>
          <w:b w:val="0"/>
          <w:bCs w:val="0"/>
          <w:lang w:val="ru-RU"/>
        </w:rPr>
        <w:t xml:space="preserve">; </w:t>
      </w:r>
      <w:r w:rsidRPr="0019090A">
        <w:t>Международный союз</w:t>
      </w:r>
      <w:r w:rsidRPr="0019090A">
        <w:rPr>
          <w:b/>
          <w:bCs/>
        </w:rPr>
        <w:t xml:space="preserve"> </w:t>
      </w:r>
      <w:r w:rsidRPr="0019090A">
        <w:t>охраны природы</w:t>
      </w:r>
      <w:r w:rsidRPr="0019090A">
        <w:rPr>
          <w:lang w:val="ru-RU"/>
        </w:rPr>
        <w:t>; Промышленность.</w:t>
      </w:r>
    </w:p>
    <w:p w:rsidR="008F05B5" w:rsidRDefault="008F05B5">
      <w:pPr>
        <w:rPr>
          <w:b/>
          <w:bCs/>
          <w:sz w:val="32"/>
          <w:szCs w:val="32"/>
        </w:rPr>
      </w:pPr>
    </w:p>
    <w:p w:rsidR="008F05B5" w:rsidRPr="004F6034" w:rsidRDefault="008F05B5">
      <w:pPr>
        <w:rPr>
          <w:b/>
          <w:bCs/>
          <w:sz w:val="32"/>
          <w:szCs w:val="32"/>
        </w:rPr>
      </w:pPr>
    </w:p>
    <w:p w:rsidR="00763A58" w:rsidRPr="004F6034" w:rsidRDefault="00763A58" w:rsidP="00763A58">
      <w:pPr>
        <w:pStyle w:val="Heading2"/>
        <w:rPr>
          <w:b/>
          <w:bCs/>
          <w:sz w:val="32"/>
          <w:szCs w:val="32"/>
        </w:rPr>
      </w:pPr>
      <w:r w:rsidRPr="004F6034">
        <w:rPr>
          <w:rStyle w:val="Strong"/>
          <w:sz w:val="32"/>
          <w:szCs w:val="32"/>
        </w:rPr>
        <w:t>Рекомендации</w:t>
      </w:r>
    </w:p>
    <w:p w:rsidR="00763A58" w:rsidRPr="004F6034" w:rsidRDefault="00763A58" w:rsidP="00763A58">
      <w:pPr>
        <w:pStyle w:val="Heading3"/>
        <w:rPr>
          <w:highlight w:val="yellow"/>
        </w:rPr>
      </w:pPr>
      <w:r>
        <w:rPr>
          <w:rStyle w:val="Strong"/>
          <w:b/>
          <w:bCs/>
        </w:rPr>
        <w:t xml:space="preserve">Общее </w:t>
      </w:r>
      <w:r w:rsidRPr="004F6034">
        <w:rPr>
          <w:rStyle w:val="Strong"/>
          <w:b/>
          <w:bCs/>
        </w:rPr>
        <w:t>управление и сотрудничество</w:t>
      </w:r>
    </w:p>
    <w:p w:rsidR="00763A58" w:rsidRPr="00B05A49" w:rsidRDefault="00763A58" w:rsidP="008F05B5">
      <w:pPr>
        <w:pStyle w:val="NormalWeb"/>
        <w:numPr>
          <w:ilvl w:val="0"/>
          <w:numId w:val="2"/>
        </w:numPr>
        <w:jc w:val="both"/>
      </w:pPr>
      <w:r w:rsidRPr="00B05A49">
        <w:rPr>
          <w:rStyle w:val="Strong"/>
          <w:b w:val="0"/>
          <w:bCs w:val="0"/>
        </w:rPr>
        <w:t>Продолжать</w:t>
      </w:r>
      <w:r w:rsidR="0030058B" w:rsidRPr="00B05A49">
        <w:rPr>
          <w:rStyle w:val="Strong"/>
          <w:b w:val="0"/>
          <w:bCs w:val="0"/>
          <w:lang w:val="ru-RU"/>
        </w:rPr>
        <w:t xml:space="preserve"> направлять </w:t>
      </w:r>
      <w:r w:rsidR="00B05A49" w:rsidRPr="00B05A49">
        <w:rPr>
          <w:rStyle w:val="Strong"/>
          <w:b w:val="0"/>
          <w:bCs w:val="0"/>
          <w:lang w:val="ru-RU"/>
        </w:rPr>
        <w:t>открытые призывы к участию</w:t>
      </w:r>
      <w:r w:rsidR="00B05A49" w:rsidRPr="00B05A49">
        <w:rPr>
          <w:rStyle w:val="Strong"/>
          <w:lang w:val="ru-RU"/>
        </w:rPr>
        <w:t xml:space="preserve"> </w:t>
      </w:r>
      <w:r w:rsidRPr="00B05A49">
        <w:rPr>
          <w:rStyle w:val="Strong"/>
        </w:rPr>
        <w:t xml:space="preserve"> </w:t>
      </w:r>
      <w:r w:rsidR="00B05A49" w:rsidRPr="008F05B5">
        <w:rPr>
          <w:rStyle w:val="Strong"/>
          <w:b w:val="0"/>
          <w:bCs w:val="0"/>
          <w:lang w:val="ru-RU"/>
        </w:rPr>
        <w:t>любым</w:t>
      </w:r>
      <w:r w:rsidR="00B05A49" w:rsidRPr="00B05A49">
        <w:rPr>
          <w:rStyle w:val="Strong"/>
          <w:lang w:val="ru-RU"/>
        </w:rPr>
        <w:t xml:space="preserve"> </w:t>
      </w:r>
      <w:r w:rsidRPr="00B05A49">
        <w:t>ИРО, желающи</w:t>
      </w:r>
      <w:r w:rsidR="00B05A49" w:rsidRPr="00B05A49">
        <w:rPr>
          <w:lang w:val="ru-RU"/>
        </w:rPr>
        <w:t>м</w:t>
      </w:r>
      <w:r w:rsidRPr="00B05A49">
        <w:t xml:space="preserve"> участвовать в реализации Соглашени</w:t>
      </w:r>
      <w:r w:rsidR="00973C80" w:rsidRPr="00B05A49">
        <w:rPr>
          <w:lang w:val="ru-RU"/>
        </w:rPr>
        <w:t>я</w:t>
      </w:r>
      <w:r w:rsidRPr="00B05A49">
        <w:t>, опираясь на механизмы сотрудничества, сформированные на втором заседании Подготовительной комиссии.</w:t>
      </w:r>
    </w:p>
    <w:p w:rsidR="00763A58" w:rsidRDefault="00763A58" w:rsidP="008F05B5">
      <w:pPr>
        <w:pStyle w:val="NormalWeb"/>
        <w:numPr>
          <w:ilvl w:val="0"/>
          <w:numId w:val="2"/>
        </w:numPr>
        <w:jc w:val="both"/>
      </w:pPr>
      <w:r w:rsidRPr="00B05A49">
        <w:rPr>
          <w:rStyle w:val="Strong"/>
          <w:b w:val="0"/>
          <w:bCs w:val="0"/>
        </w:rPr>
        <w:t>Создать «Коллективную группу»</w:t>
      </w:r>
      <w:r>
        <w:t xml:space="preserve"> с участием представителей других ИРО для выработки новых согласованных и взаимно поддерживающих норм, стандартов и практик, включая механизм совместного обзора и совместные инициативы с вспомогательными органами</w:t>
      </w:r>
      <w:r w:rsidR="00973C80">
        <w:rPr>
          <w:lang w:val="ru-RU"/>
        </w:rPr>
        <w:t xml:space="preserve"> Соглашения</w:t>
      </w:r>
      <w:r>
        <w:t>.</w:t>
      </w:r>
    </w:p>
    <w:p w:rsidR="00763A58" w:rsidRDefault="00763A58" w:rsidP="008F05B5">
      <w:pPr>
        <w:pStyle w:val="NormalWeb"/>
        <w:numPr>
          <w:ilvl w:val="0"/>
          <w:numId w:val="2"/>
        </w:numPr>
        <w:jc w:val="both"/>
      </w:pPr>
      <w:r w:rsidRPr="00B05A49">
        <w:rPr>
          <w:rStyle w:val="Strong"/>
          <w:b w:val="0"/>
          <w:bCs w:val="0"/>
        </w:rPr>
        <w:t>Разработать в рамках Коллективной группы инструменты</w:t>
      </w:r>
      <w:r>
        <w:t>, направленные на взаимное участие в процессах принятия решений, практической деятельности, обсуждениях и/или мониторинге реализации Соглашения через вспомогательные органы и рабочие группы других ИРО, уделяя особое внимание справедливому представительству ведущих голосов Глобального Юга и коренных народов.</w:t>
      </w:r>
    </w:p>
    <w:p w:rsidR="00763A58" w:rsidRDefault="00763A58" w:rsidP="008F05B5">
      <w:pPr>
        <w:pStyle w:val="NormalWeb"/>
        <w:numPr>
          <w:ilvl w:val="0"/>
          <w:numId w:val="2"/>
        </w:numPr>
        <w:jc w:val="both"/>
      </w:pPr>
      <w:r w:rsidRPr="00B05A49">
        <w:rPr>
          <w:rStyle w:val="Strong"/>
          <w:b w:val="0"/>
          <w:bCs w:val="0"/>
        </w:rPr>
        <w:t>Создать Сообщества практиков</w:t>
      </w:r>
      <w:r>
        <w:t xml:space="preserve"> на местном, национальном и региональном уровнях, объединяющие научные круги, неправительственные организации, промышленность, разработчиков политики, учёных, местные и коренные сообщества для формирования общего понимания и укрепления потенциала.</w:t>
      </w:r>
    </w:p>
    <w:p w:rsidR="00763A58" w:rsidRPr="0019090A" w:rsidRDefault="00763A58" w:rsidP="00763A58">
      <w:pPr>
        <w:pStyle w:val="Heading2"/>
        <w:rPr>
          <w:rStyle w:val="Strong"/>
          <w:rFonts w:ascii="Times New Roman" w:eastAsia="Times New Roman" w:hAnsi="Times New Roman" w:cs="Times New Roman"/>
          <w:color w:val="auto"/>
          <w:kern w:val="0"/>
          <w:sz w:val="27"/>
          <w:szCs w:val="27"/>
          <w14:ligatures w14:val="none"/>
        </w:rPr>
      </w:pPr>
      <w:r w:rsidRPr="0019090A">
        <w:rPr>
          <w:rStyle w:val="Strong"/>
          <w:rFonts w:ascii="Times New Roman" w:eastAsia="Times New Roman" w:hAnsi="Times New Roman" w:cs="Times New Roman"/>
          <w:color w:val="auto"/>
          <w:kern w:val="0"/>
          <w:sz w:val="27"/>
          <w:szCs w:val="27"/>
          <w14:ligatures w14:val="none"/>
        </w:rPr>
        <w:t>Рекомендации (продолжение)</w:t>
      </w:r>
    </w:p>
    <w:p w:rsidR="00763A58" w:rsidRDefault="00763A58" w:rsidP="00763A58">
      <w:pPr>
        <w:pStyle w:val="Heading3"/>
      </w:pPr>
      <w:r w:rsidRPr="00B05A49">
        <w:rPr>
          <w:rStyle w:val="Strong"/>
          <w:b/>
          <w:bCs/>
        </w:rPr>
        <w:t>Общее управление и сотрудничество</w:t>
      </w:r>
    </w:p>
    <w:p w:rsidR="00763A58" w:rsidRDefault="00B05A49" w:rsidP="008F05B5">
      <w:pPr>
        <w:pStyle w:val="NormalWeb"/>
        <w:numPr>
          <w:ilvl w:val="0"/>
          <w:numId w:val="3"/>
        </w:numPr>
        <w:jc w:val="both"/>
      </w:pPr>
      <w:r w:rsidRPr="00B05A49">
        <w:rPr>
          <w:rStyle w:val="Strong"/>
          <w:b w:val="0"/>
          <w:bCs w:val="0"/>
          <w:lang w:val="ru-RU"/>
        </w:rPr>
        <w:t>Установление связей между</w:t>
      </w:r>
      <w:r>
        <w:rPr>
          <w:rStyle w:val="Strong"/>
          <w:lang w:val="ru-RU"/>
        </w:rPr>
        <w:t xml:space="preserve"> </w:t>
      </w:r>
      <w:r w:rsidR="00763A58">
        <w:t xml:space="preserve">Сообществами практиков, Коллективной группой, Конференцией сторон (КС) </w:t>
      </w:r>
      <w:r w:rsidRPr="00B05A49">
        <w:rPr>
          <w:lang w:val="ru-RU"/>
        </w:rPr>
        <w:t xml:space="preserve">Соглашения о </w:t>
      </w:r>
      <w:r w:rsidR="00763A58" w:rsidRPr="00B05A49">
        <w:t xml:space="preserve">BBNJ, вспомогательными органами </w:t>
      </w:r>
      <w:r w:rsidR="00973C80" w:rsidRPr="00B05A49">
        <w:rPr>
          <w:lang w:val="ru-RU"/>
        </w:rPr>
        <w:t>Соглашения</w:t>
      </w:r>
      <w:r w:rsidRPr="00B05A49">
        <w:rPr>
          <w:lang w:val="ru-RU"/>
        </w:rPr>
        <w:t xml:space="preserve"> </w:t>
      </w:r>
      <w:r w:rsidRPr="00B05A49">
        <w:rPr>
          <w:lang w:val="ru-RU"/>
        </w:rPr>
        <w:t xml:space="preserve">о </w:t>
      </w:r>
      <w:r w:rsidRPr="00B05A49">
        <w:t>BBNJ</w:t>
      </w:r>
      <w:r w:rsidR="00763A58" w:rsidRPr="00B05A49">
        <w:t>, а также аналогичными органами других ИРО.</w:t>
      </w:r>
    </w:p>
    <w:p w:rsidR="00763A58" w:rsidRDefault="00763A58" w:rsidP="008F05B5">
      <w:pPr>
        <w:pStyle w:val="NormalWeb"/>
        <w:numPr>
          <w:ilvl w:val="0"/>
          <w:numId w:val="3"/>
        </w:numPr>
        <w:jc w:val="both"/>
      </w:pPr>
      <w:r w:rsidRPr="00B05A49">
        <w:rPr>
          <w:rStyle w:val="Strong"/>
          <w:b w:val="0"/>
          <w:bCs w:val="0"/>
        </w:rPr>
        <w:t>Продвигать согласованное представительство</w:t>
      </w:r>
      <w:r>
        <w:t xml:space="preserve"> в рамках различных ИРО, обеспечивая согласованность действий государственных должностных лиц и групп заинтересованных сторон, включая представителей маргинализированных сообществ, участвующих в параллельных институциональных заседаниях ИРО.</w:t>
      </w:r>
    </w:p>
    <w:p w:rsidR="00763A58" w:rsidRDefault="00616F57" w:rsidP="00763A58">
      <w:r>
        <w:rPr>
          <w:noProof/>
        </w:rPr>
        <w:pict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:rsidR="00763A58" w:rsidRDefault="00763A58" w:rsidP="00763A58">
      <w:pPr>
        <w:pStyle w:val="Heading3"/>
      </w:pPr>
      <w:r>
        <w:rPr>
          <w:rStyle w:val="Strong"/>
          <w:b/>
          <w:bCs/>
        </w:rPr>
        <w:lastRenderedPageBreak/>
        <w:t>Гармонизация работы по механизмам распределения выгод для достижения амбиций BBNJ</w:t>
      </w:r>
    </w:p>
    <w:p w:rsidR="00763A58" w:rsidRDefault="00763A58" w:rsidP="008F05B5">
      <w:pPr>
        <w:pStyle w:val="NormalWeb"/>
        <w:numPr>
          <w:ilvl w:val="0"/>
          <w:numId w:val="4"/>
        </w:numPr>
        <w:jc w:val="both"/>
      </w:pPr>
      <w:r w:rsidRPr="008F05B5">
        <w:rPr>
          <w:rStyle w:val="Strong"/>
          <w:b w:val="0"/>
          <w:bCs w:val="0"/>
        </w:rPr>
        <w:t>Разработать руководство по взаимодействию</w:t>
      </w:r>
      <w:r>
        <w:t xml:space="preserve"> между механизмами распределения выгод и раскрытием происхождения для МГР и </w:t>
      </w:r>
      <w:r w:rsidR="00F424E0">
        <w:rPr>
          <w:lang w:val="ru-RU"/>
        </w:rPr>
        <w:t>ЦПИ</w:t>
      </w:r>
      <w:r>
        <w:t xml:space="preserve"> в качестве приоритета, учитывая текущие процессы в </w:t>
      </w:r>
      <w:r w:rsidRPr="00B05A49">
        <w:t>ВОИС, ВОЗ и КБР.</w:t>
      </w:r>
      <w:r>
        <w:t xml:space="preserve"> Рассматривать </w:t>
      </w:r>
      <w:r w:rsidRPr="00B05A49">
        <w:rPr>
          <w:rStyle w:val="Strong"/>
          <w:b w:val="0"/>
          <w:bCs w:val="0"/>
        </w:rPr>
        <w:t>патентные заявки как возможную модель</w:t>
      </w:r>
      <w:r>
        <w:t xml:space="preserve"> для более широких многосторонних и основанных на принципах справедливости интеграционных подходов, создающих возможности для взаимного укрепления режимов.</w:t>
      </w:r>
    </w:p>
    <w:p w:rsidR="00763A58" w:rsidRDefault="00763A58" w:rsidP="008F05B5">
      <w:pPr>
        <w:pStyle w:val="NormalWeb"/>
        <w:numPr>
          <w:ilvl w:val="0"/>
          <w:numId w:val="4"/>
        </w:numPr>
        <w:jc w:val="both"/>
      </w:pPr>
      <w:r w:rsidRPr="00B05A49">
        <w:rPr>
          <w:rStyle w:val="Strong"/>
          <w:b w:val="0"/>
          <w:bCs w:val="0"/>
        </w:rPr>
        <w:t>Содействовать обмену опытом</w:t>
      </w:r>
      <w:r>
        <w:t xml:space="preserve"> </w:t>
      </w:r>
      <w:r w:rsidR="00B05A49">
        <w:rPr>
          <w:lang w:val="ru-RU"/>
        </w:rPr>
        <w:t>совместного использования выгод</w:t>
      </w:r>
      <w:r>
        <w:t xml:space="preserve"> между ИРО (например, система </w:t>
      </w:r>
      <w:r w:rsidRPr="00B05A49">
        <w:t xml:space="preserve">Договора об Антарктике, Соглашение о Луне, Договор </w:t>
      </w:r>
      <w:r w:rsidR="00B05A49" w:rsidRPr="00B05A49">
        <w:rPr>
          <w:lang w:val="ru-RU"/>
        </w:rPr>
        <w:t>о</w:t>
      </w:r>
      <w:r w:rsidRPr="00B05A49">
        <w:t xml:space="preserve"> космос</w:t>
      </w:r>
      <w:r w:rsidR="00B05A49" w:rsidRPr="00B05A49">
        <w:rPr>
          <w:lang w:val="ru-RU"/>
        </w:rPr>
        <w:t>е</w:t>
      </w:r>
      <w:r w:rsidRPr="00B05A49">
        <w:t xml:space="preserve">, </w:t>
      </w:r>
      <w:r w:rsidR="00B05A49" w:rsidRPr="00B05A49">
        <w:rPr>
          <w:lang w:val="ru-RU"/>
        </w:rPr>
        <w:t>МОМД</w:t>
      </w:r>
      <w:r w:rsidRPr="00B05A49">
        <w:t>, КБР, ВОЗ, ВОИС, ФАО) через Сообщества практиков и Коллективную группу</w:t>
      </w:r>
      <w:r w:rsidR="00B05A49">
        <w:rPr>
          <w:lang w:val="ru-RU"/>
        </w:rPr>
        <w:t xml:space="preserve"> для</w:t>
      </w:r>
      <w:r w:rsidRPr="00B05A49">
        <w:t xml:space="preserve"> разработки совместных руководящих принципов и </w:t>
      </w:r>
      <w:r w:rsidR="00B05A49">
        <w:rPr>
          <w:lang w:val="ru-RU"/>
        </w:rPr>
        <w:t>сроков</w:t>
      </w:r>
      <w:r w:rsidRPr="00B05A49">
        <w:t xml:space="preserve">, основанных на принципах справедливости, управления общим </w:t>
      </w:r>
      <w:r w:rsidR="00B05A49">
        <w:rPr>
          <w:lang w:val="ru-RU"/>
        </w:rPr>
        <w:t>достоянием</w:t>
      </w:r>
      <w:r w:rsidRPr="00B05A49">
        <w:t>, а также традиционных и местных знаний</w:t>
      </w:r>
      <w:r>
        <w:t>.</w:t>
      </w:r>
    </w:p>
    <w:p w:rsidR="00763A58" w:rsidRDefault="00763A58" w:rsidP="00763A58">
      <w:pPr>
        <w:pStyle w:val="Heading3"/>
      </w:pPr>
      <w:r>
        <w:rPr>
          <w:rStyle w:val="Strong"/>
          <w:b/>
          <w:bCs/>
        </w:rPr>
        <w:t>Инклюзивное участие</w:t>
      </w:r>
    </w:p>
    <w:p w:rsidR="003861E8" w:rsidRDefault="003861E8" w:rsidP="008F05B5">
      <w:pPr>
        <w:pStyle w:val="NormalWeb"/>
        <w:numPr>
          <w:ilvl w:val="0"/>
          <w:numId w:val="5"/>
        </w:numPr>
        <w:jc w:val="both"/>
        <w:rPr>
          <w:rStyle w:val="Strong"/>
          <w:b w:val="0"/>
          <w:bCs w:val="0"/>
        </w:rPr>
      </w:pPr>
      <w:r w:rsidRPr="003861E8">
        <w:t xml:space="preserve">Сокращение разрыва между наукой и справедливостью в рамках осуществления </w:t>
      </w:r>
      <w:r w:rsidR="00EC46DC" w:rsidRPr="003861E8">
        <w:t>Соглашения</w:t>
      </w:r>
      <w:r w:rsidRPr="003861E8">
        <w:t xml:space="preserve"> о </w:t>
      </w:r>
      <w:r w:rsidRPr="003861E8">
        <w:t>BBNJ,</w:t>
      </w:r>
      <w:r w:rsidRPr="003861E8">
        <w:t xml:space="preserve"> деятельности</w:t>
      </w:r>
      <w:r w:rsidR="00763A58">
        <w:t xml:space="preserve"> </w:t>
      </w:r>
      <w:r w:rsidR="00763A58" w:rsidRPr="003861E8">
        <w:t>РФМО</w:t>
      </w:r>
      <w:r w:rsidR="00763A58">
        <w:t xml:space="preserve"> и инициатив «голубой экономики», </w:t>
      </w:r>
      <w:r w:rsidRPr="003861E8">
        <w:t xml:space="preserve">путем </w:t>
      </w:r>
      <w:r w:rsidR="00763A58">
        <w:t>поддерж</w:t>
      </w:r>
      <w:r w:rsidRPr="003861E8">
        <w:t>ки</w:t>
      </w:r>
      <w:r w:rsidR="00763A58">
        <w:t xml:space="preserve"> равноправн</w:t>
      </w:r>
      <w:r w:rsidRPr="003861E8">
        <w:t xml:space="preserve">ых </w:t>
      </w:r>
      <w:r w:rsidR="00763A58">
        <w:t xml:space="preserve">и </w:t>
      </w:r>
      <w:r w:rsidRPr="003861E8">
        <w:t>взаимосвязанных подходов, объединяющих разнообразные системы знаний, включая местные и традиционные знания.</w:t>
      </w:r>
      <w:r w:rsidRPr="003861E8">
        <w:rPr>
          <w:rStyle w:val="Strong"/>
          <w:b w:val="0"/>
          <w:bCs w:val="0"/>
        </w:rPr>
        <w:t xml:space="preserve"> </w:t>
      </w:r>
    </w:p>
    <w:p w:rsidR="00763A58" w:rsidRDefault="00763A58" w:rsidP="008F05B5">
      <w:pPr>
        <w:pStyle w:val="NormalWeb"/>
        <w:numPr>
          <w:ilvl w:val="0"/>
          <w:numId w:val="5"/>
        </w:numPr>
        <w:jc w:val="both"/>
      </w:pPr>
      <w:r w:rsidRPr="003861E8">
        <w:rPr>
          <w:rStyle w:val="Strong"/>
          <w:b w:val="0"/>
          <w:bCs w:val="0"/>
        </w:rPr>
        <w:t>Поддерживать добровольные базы данных и репозитории</w:t>
      </w:r>
      <w:r w:rsidRPr="003861E8">
        <w:rPr>
          <w:b/>
          <w:bCs/>
        </w:rPr>
        <w:t>,</w:t>
      </w:r>
      <w:r>
        <w:t xml:space="preserve"> связанные с </w:t>
      </w:r>
      <w:r w:rsidRPr="00B05A49">
        <w:t>Сообществами практиков</w:t>
      </w:r>
      <w:r>
        <w:t xml:space="preserve"> и дополняющие существующие хранилища данных, для перекрёстной интеграции и общего финансирования глобальных репозиториев. Это позволит сокращать разрывы в научной готовности и реализации между региональными группами и развивать сотрудничество для разрешения возможных зон пересечения и расхождений между ИРО.</w:t>
      </w:r>
    </w:p>
    <w:p w:rsidR="00763A58" w:rsidRDefault="00763A58" w:rsidP="00763A58">
      <w:pPr>
        <w:pStyle w:val="Heading3"/>
      </w:pPr>
      <w:r>
        <w:rPr>
          <w:rStyle w:val="Strong"/>
          <w:b/>
          <w:bCs/>
        </w:rPr>
        <w:t>Мониторинг, практическая реализация и подотчётность</w:t>
      </w:r>
    </w:p>
    <w:p w:rsidR="00763A58" w:rsidRPr="00433D9A" w:rsidRDefault="00763A58" w:rsidP="008F05B5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@≤B" w:hAnsi="@≤B" w:cs="@≤B"/>
          <w:i/>
          <w:iCs/>
          <w:kern w:val="0"/>
          <w:sz w:val="22"/>
          <w:szCs w:val="22"/>
          <w:lang w:val="ru-RU"/>
        </w:rPr>
      </w:pPr>
      <w:r w:rsidRPr="008F05B5">
        <w:rPr>
          <w:rStyle w:val="Strong"/>
          <w:b w:val="0"/>
          <w:bCs w:val="0"/>
        </w:rPr>
        <w:t xml:space="preserve">Использовать </w:t>
      </w:r>
      <w:r w:rsidR="008F05B5" w:rsidRPr="008F05B5">
        <w:rPr>
          <w:rStyle w:val="Strong"/>
          <w:b w:val="0"/>
          <w:bCs w:val="0"/>
          <w:lang w:val="ru-RU"/>
        </w:rPr>
        <w:t>имеющиеся</w:t>
      </w:r>
      <w:r w:rsidRPr="008F05B5">
        <w:rPr>
          <w:rStyle w:val="Strong"/>
          <w:b w:val="0"/>
          <w:bCs w:val="0"/>
        </w:rPr>
        <w:t xml:space="preserve"> ресурсы мониторинга и региональные механизмы</w:t>
      </w:r>
      <w:r w:rsidRPr="008F05B5">
        <w:t xml:space="preserve"> для </w:t>
      </w:r>
      <w:r w:rsidR="008F05B5" w:rsidRPr="008F05B5">
        <w:rPr>
          <w:lang w:val="ru-RU"/>
        </w:rPr>
        <w:t>устранения пробелов</w:t>
      </w:r>
      <w:r w:rsidRPr="008F05B5">
        <w:t xml:space="preserve"> </w:t>
      </w:r>
      <w:r w:rsidR="008F05B5" w:rsidRPr="008F05B5">
        <w:rPr>
          <w:lang w:val="ru-RU"/>
        </w:rPr>
        <w:t xml:space="preserve">в </w:t>
      </w:r>
      <w:r w:rsidRPr="008F05B5">
        <w:t>деятельност</w:t>
      </w:r>
      <w:r w:rsidR="008F05B5" w:rsidRPr="008F05B5">
        <w:rPr>
          <w:lang w:val="ru-RU"/>
        </w:rPr>
        <w:t>и</w:t>
      </w:r>
      <w:r w:rsidRPr="008F05B5">
        <w:t xml:space="preserve"> научных органов разных режимов, </w:t>
      </w:r>
      <w:r w:rsidR="008F05B5" w:rsidRPr="008F05B5">
        <w:rPr>
          <w:lang w:val="ru-RU"/>
        </w:rPr>
        <w:t xml:space="preserve">чтобы </w:t>
      </w:r>
      <w:r w:rsidRPr="008F05B5">
        <w:t>предотвра</w:t>
      </w:r>
      <w:proofErr w:type="spellStart"/>
      <w:r w:rsidR="008F05B5" w:rsidRPr="008F05B5">
        <w:rPr>
          <w:lang w:val="ru-RU"/>
        </w:rPr>
        <w:t>тить</w:t>
      </w:r>
      <w:proofErr w:type="spellEnd"/>
      <w:r w:rsidRPr="008F05B5">
        <w:t xml:space="preserve"> дорогостоящ</w:t>
      </w:r>
      <w:r w:rsidR="008F05B5" w:rsidRPr="008F05B5">
        <w:rPr>
          <w:lang w:val="ru-RU"/>
        </w:rPr>
        <w:t>ее</w:t>
      </w:r>
      <w:r w:rsidRPr="008F05B5">
        <w:t xml:space="preserve"> дублировани</w:t>
      </w:r>
      <w:r w:rsidR="008F05B5" w:rsidRPr="008F05B5">
        <w:rPr>
          <w:lang w:val="ru-RU"/>
        </w:rPr>
        <w:t>е</w:t>
      </w:r>
      <w:r w:rsidR="00433D9A" w:rsidRPr="008F05B5">
        <w:rPr>
          <w:lang w:val="ru-RU"/>
        </w:rPr>
        <w:t xml:space="preserve"> усилий</w:t>
      </w:r>
      <w:r w:rsidRPr="008F05B5">
        <w:t>. Интегрировать данные в показатели эффективности реализации</w:t>
      </w:r>
      <w:r w:rsidR="00433D9A" w:rsidRPr="008F05B5">
        <w:rPr>
          <w:lang w:val="ru-RU"/>
        </w:rPr>
        <w:t xml:space="preserve"> (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en-US"/>
        </w:rPr>
        <w:t>Feed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ru-RU"/>
        </w:rPr>
        <w:t xml:space="preserve"> 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en-US"/>
        </w:rPr>
        <w:t>data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ru-RU"/>
        </w:rPr>
        <w:t xml:space="preserve"> 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en-US"/>
        </w:rPr>
        <w:t>into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ru-RU"/>
        </w:rPr>
        <w:t xml:space="preserve"> 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en-US"/>
        </w:rPr>
        <w:t>metrics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ru-RU"/>
        </w:rPr>
        <w:t xml:space="preserve"> 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en-US"/>
        </w:rPr>
        <w:t>for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ru-RU"/>
        </w:rPr>
        <w:t xml:space="preserve"> 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en-US"/>
        </w:rPr>
        <w:t>implementation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ru-RU"/>
        </w:rPr>
        <w:t xml:space="preserve"> </w:t>
      </w:r>
      <w:r w:rsidR="00433D9A" w:rsidRPr="008F05B5">
        <w:rPr>
          <w:rFonts w:ascii="@≤B" w:hAnsi="@≤B" w:cs="@≤B"/>
          <w:i/>
          <w:iCs/>
          <w:kern w:val="0"/>
          <w:sz w:val="22"/>
          <w:szCs w:val="22"/>
          <w:lang w:val="en-US"/>
        </w:rPr>
        <w:t>effectiveness</w:t>
      </w:r>
      <w:r w:rsidR="00433D9A" w:rsidRPr="008F05B5">
        <w:rPr>
          <w:lang w:val="ru-RU"/>
        </w:rPr>
        <w:t>)</w:t>
      </w:r>
      <w:r w:rsidRPr="008F05B5">
        <w:t xml:space="preserve">, включая </w:t>
      </w:r>
      <w:r w:rsidR="008F05B5" w:rsidRPr="008F05B5">
        <w:rPr>
          <w:lang w:val="ru-RU"/>
        </w:rPr>
        <w:t xml:space="preserve">общедоступные </w:t>
      </w:r>
      <w:r w:rsidRPr="008F05B5">
        <w:t xml:space="preserve">базы данных, содержащие </w:t>
      </w:r>
      <w:r w:rsidR="00F424E0" w:rsidRPr="008F05B5">
        <w:rPr>
          <w:lang w:val="ru-RU"/>
        </w:rPr>
        <w:t>ЦПИ</w:t>
      </w:r>
      <w:r w:rsidRPr="008F05B5">
        <w:t>, уделяя особое внимание развитию потенциала стран Глобального Юга для обеспечения</w:t>
      </w:r>
      <w:r>
        <w:t xml:space="preserve"> справедливого участия.</w:t>
      </w:r>
    </w:p>
    <w:p w:rsidR="00763A58" w:rsidRPr="008F05B5" w:rsidRDefault="00763A58" w:rsidP="008F05B5">
      <w:pPr>
        <w:pStyle w:val="NormalWeb"/>
        <w:numPr>
          <w:ilvl w:val="0"/>
          <w:numId w:val="6"/>
        </w:numPr>
        <w:jc w:val="both"/>
      </w:pPr>
      <w:r w:rsidRPr="008F05B5">
        <w:rPr>
          <w:rStyle w:val="Strong"/>
          <w:b w:val="0"/>
          <w:bCs w:val="0"/>
        </w:rPr>
        <w:t xml:space="preserve">Обеспечить </w:t>
      </w:r>
      <w:r w:rsidR="008F05B5" w:rsidRPr="008F05B5">
        <w:rPr>
          <w:rStyle w:val="Strong"/>
          <w:b w:val="0"/>
          <w:bCs w:val="0"/>
          <w:lang w:val="ru-RU"/>
        </w:rPr>
        <w:t>функциональную совместимость</w:t>
      </w:r>
      <w:r w:rsidRPr="008F05B5">
        <w:rPr>
          <w:rStyle w:val="Strong"/>
          <w:b w:val="0"/>
          <w:bCs w:val="0"/>
        </w:rPr>
        <w:t xml:space="preserve"> механизмов </w:t>
      </w:r>
      <w:r w:rsidR="00F424E0" w:rsidRPr="008F05B5">
        <w:rPr>
          <w:rStyle w:val="Strong"/>
          <w:b w:val="0"/>
          <w:bCs w:val="0"/>
          <w:lang w:val="ru-RU"/>
        </w:rPr>
        <w:t>посредничества</w:t>
      </w:r>
      <w:r w:rsidRPr="008F05B5">
        <w:rPr>
          <w:rStyle w:val="Strong"/>
          <w:b w:val="0"/>
          <w:bCs w:val="0"/>
        </w:rPr>
        <w:t xml:space="preserve"> (Clearing-House Mechanisms)</w:t>
      </w:r>
      <w:r w:rsidRPr="008F05B5">
        <w:t xml:space="preserve"> в разных ИРО, стандартизировав данные и метаданные и внедрив автоматизированную отчётность для снижения нагрузки, включая вопросы, связанные с «наследственными» МГР и смешанным использованием </w:t>
      </w:r>
      <w:r w:rsidR="00F424E0" w:rsidRPr="008F05B5">
        <w:rPr>
          <w:lang w:val="ru-RU"/>
        </w:rPr>
        <w:t>ЦПИ</w:t>
      </w:r>
      <w:r w:rsidRPr="008F05B5">
        <w:t>.</w:t>
      </w:r>
    </w:p>
    <w:p w:rsidR="0019090A" w:rsidRDefault="0019090A" w:rsidP="00763A58">
      <w:pPr>
        <w:pStyle w:val="Heading3"/>
        <w:rPr>
          <w:rStyle w:val="Strong"/>
          <w:b/>
          <w:bCs/>
        </w:rPr>
      </w:pPr>
    </w:p>
    <w:p w:rsidR="0019090A" w:rsidRDefault="0019090A" w:rsidP="00763A58">
      <w:pPr>
        <w:pStyle w:val="Heading3"/>
        <w:rPr>
          <w:rStyle w:val="Strong"/>
          <w:b/>
          <w:bCs/>
        </w:rPr>
      </w:pPr>
    </w:p>
    <w:p w:rsidR="00763A58" w:rsidRDefault="00763A58" w:rsidP="00763A58">
      <w:pPr>
        <w:pStyle w:val="Heading3"/>
      </w:pPr>
      <w:r>
        <w:rPr>
          <w:rStyle w:val="Strong"/>
          <w:b/>
          <w:bCs/>
        </w:rPr>
        <w:lastRenderedPageBreak/>
        <w:t>Практические следующие шаги</w:t>
      </w:r>
    </w:p>
    <w:p w:rsidR="00763A58" w:rsidRDefault="00763A58" w:rsidP="008F05B5">
      <w:pPr>
        <w:pStyle w:val="NormalWeb"/>
        <w:numPr>
          <w:ilvl w:val="0"/>
          <w:numId w:val="7"/>
        </w:numPr>
        <w:jc w:val="both"/>
      </w:pPr>
      <w:r w:rsidRPr="00433D9A">
        <w:rPr>
          <w:rStyle w:val="Strong"/>
          <w:b w:val="0"/>
          <w:bCs w:val="0"/>
        </w:rPr>
        <w:t>Продвигать обсуждение предлагаемых мер</w:t>
      </w:r>
      <w:r>
        <w:t xml:space="preserve"> в диалоге с соответствующими сообществами (например, разработчиками политики в сфере МГР) и устанавливать контакты с другими релевантными сообществами, работающими с МГР (включая промышленность и частный сектор).</w:t>
      </w:r>
    </w:p>
    <w:p w:rsidR="00763A58" w:rsidRDefault="00763A58" w:rsidP="008F05B5">
      <w:pPr>
        <w:pStyle w:val="NormalWeb"/>
        <w:numPr>
          <w:ilvl w:val="0"/>
          <w:numId w:val="7"/>
        </w:numPr>
        <w:jc w:val="both"/>
      </w:pPr>
      <w:r w:rsidRPr="00433D9A">
        <w:rPr>
          <w:rStyle w:val="Strong"/>
          <w:b w:val="0"/>
          <w:bCs w:val="0"/>
        </w:rPr>
        <w:t>Искать грантовое финансирование</w:t>
      </w:r>
      <w:r>
        <w:t xml:space="preserve"> для пилотных проектов, изучающих точки пересечения и потенциальные новые практики, включая те, что предложены в данном Политическом обзоре.</w:t>
      </w:r>
    </w:p>
    <w:p w:rsidR="00763A58" w:rsidRDefault="00763A58"/>
    <w:p w:rsidR="00433D9A" w:rsidRPr="008F05B5" w:rsidRDefault="00433D9A" w:rsidP="00433D9A">
      <w:pPr>
        <w:pStyle w:val="Heading2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14:ligatures w14:val="none"/>
        </w:rPr>
      </w:pPr>
      <w:r w:rsidRPr="008F05B5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14:ligatures w14:val="none"/>
        </w:rPr>
        <w:t>Сокращения</w:t>
      </w:r>
    </w:p>
    <w:p w:rsidR="00433D9A" w:rsidRDefault="00F424E0" w:rsidP="00433D9A">
      <w:pPr>
        <w:pStyle w:val="NormalWeb"/>
      </w:pPr>
      <w:r>
        <w:rPr>
          <w:rStyle w:val="Strong"/>
          <w:lang w:val="ru-RU"/>
        </w:rPr>
        <w:t>РПНЮ (</w:t>
      </w:r>
      <w:r w:rsidR="00433D9A">
        <w:rPr>
          <w:rStyle w:val="Strong"/>
        </w:rPr>
        <w:t>ABNJ</w:t>
      </w:r>
      <w:r>
        <w:rPr>
          <w:rStyle w:val="Strong"/>
          <w:lang w:val="ru-RU"/>
        </w:rPr>
        <w:t>)</w:t>
      </w:r>
      <w:r w:rsidR="00433D9A">
        <w:t xml:space="preserve"> — районы за пределами национальной юрисдикции</w:t>
      </w:r>
      <w:r w:rsidR="00433D9A">
        <w:br/>
      </w:r>
      <w:r w:rsidR="002D0DA9" w:rsidRPr="00E37237">
        <w:rPr>
          <w:rStyle w:val="Strong"/>
          <w:lang w:val="ru-RU"/>
        </w:rPr>
        <w:t>Соглашение (</w:t>
      </w:r>
      <w:r w:rsidR="00433D9A" w:rsidRPr="00E37237">
        <w:rPr>
          <w:rStyle w:val="Strong"/>
        </w:rPr>
        <w:t>BBNJ</w:t>
      </w:r>
      <w:r w:rsidR="002D0DA9" w:rsidRPr="00E37237">
        <w:rPr>
          <w:rStyle w:val="Strong"/>
          <w:lang w:val="ru-RU"/>
        </w:rPr>
        <w:t>)</w:t>
      </w:r>
      <w:r w:rsidR="00433D9A">
        <w:t xml:space="preserve"> — морское биоразнообразие за пределами национальной юрисдикции</w:t>
      </w:r>
      <w:r w:rsidR="00433D9A">
        <w:br/>
      </w:r>
      <w:r w:rsidR="002D0DA9">
        <w:rPr>
          <w:rStyle w:val="Strong"/>
          <w:lang w:val="ru-RU"/>
        </w:rPr>
        <w:t>КБР (</w:t>
      </w:r>
      <w:r w:rsidR="00433D9A">
        <w:rPr>
          <w:rStyle w:val="Strong"/>
        </w:rPr>
        <w:t>CBD</w:t>
      </w:r>
      <w:r w:rsidR="002D0DA9">
        <w:rPr>
          <w:rStyle w:val="Strong"/>
          <w:lang w:val="ru-RU"/>
        </w:rPr>
        <w:t>)</w:t>
      </w:r>
      <w:r w:rsidR="00433D9A">
        <w:t xml:space="preserve"> — Конвенция о биологическом разнообразии</w:t>
      </w:r>
      <w:r w:rsidR="00433D9A">
        <w:br/>
      </w:r>
      <w:r w:rsidR="002D0DA9">
        <w:rPr>
          <w:rStyle w:val="Strong"/>
        </w:rPr>
        <w:t>Сообщества практиков</w:t>
      </w:r>
      <w:r w:rsidR="002D0DA9">
        <w:t xml:space="preserve"> </w:t>
      </w:r>
      <w:r w:rsidR="002D0DA9">
        <w:rPr>
          <w:lang w:val="ru-RU"/>
        </w:rPr>
        <w:t>(</w:t>
      </w:r>
      <w:r w:rsidR="00433D9A">
        <w:rPr>
          <w:rStyle w:val="Strong"/>
        </w:rPr>
        <w:t>Communities of Practice</w:t>
      </w:r>
      <w:r w:rsidR="002D0DA9">
        <w:rPr>
          <w:rStyle w:val="Strong"/>
          <w:lang w:val="ru-RU"/>
        </w:rPr>
        <w:t>)</w:t>
      </w:r>
      <w:r w:rsidR="00433D9A">
        <w:t>— группы, объединённые общими интересами и совместно формирующие знания и решающие задачи через регулярное взаимодействие</w:t>
      </w:r>
      <w:r w:rsidR="00433D9A">
        <w:br/>
      </w:r>
      <w:r w:rsidR="002D0DA9">
        <w:rPr>
          <w:rStyle w:val="Strong"/>
          <w:lang w:val="ru-RU"/>
        </w:rPr>
        <w:t>КС (</w:t>
      </w:r>
      <w:r w:rsidR="00433D9A">
        <w:rPr>
          <w:rStyle w:val="Strong"/>
        </w:rPr>
        <w:t>COP</w:t>
      </w:r>
      <w:r w:rsidR="002D0DA9">
        <w:rPr>
          <w:rStyle w:val="Strong"/>
          <w:lang w:val="ru-RU"/>
        </w:rPr>
        <w:t>)</w:t>
      </w:r>
      <w:r w:rsidR="00433D9A">
        <w:t xml:space="preserve"> — Конференция сторон</w:t>
      </w:r>
      <w:r w:rsidR="00433D9A">
        <w:br/>
      </w:r>
      <w:r>
        <w:rPr>
          <w:rStyle w:val="Strong"/>
          <w:lang w:val="ru-RU"/>
        </w:rPr>
        <w:t>ЦПИ (</w:t>
      </w:r>
      <w:r w:rsidR="00433D9A">
        <w:rPr>
          <w:rStyle w:val="Strong"/>
        </w:rPr>
        <w:t>DSI</w:t>
      </w:r>
      <w:r>
        <w:rPr>
          <w:rStyle w:val="Strong"/>
          <w:lang w:val="ru-RU"/>
        </w:rPr>
        <w:t>)</w:t>
      </w:r>
      <w:r w:rsidR="00433D9A">
        <w:t xml:space="preserve"> — цифровая последовательная информация</w:t>
      </w:r>
      <w:r w:rsidR="00433D9A">
        <w:br/>
      </w:r>
      <w:r w:rsidR="002D0DA9">
        <w:rPr>
          <w:rStyle w:val="Strong"/>
          <w:lang w:val="ru-RU"/>
        </w:rPr>
        <w:t>ФАО (</w:t>
      </w:r>
      <w:r w:rsidR="00433D9A">
        <w:rPr>
          <w:rStyle w:val="Strong"/>
        </w:rPr>
        <w:t>FAO</w:t>
      </w:r>
      <w:r w:rsidR="002D0DA9">
        <w:rPr>
          <w:rStyle w:val="Strong"/>
          <w:lang w:val="ru-RU"/>
        </w:rPr>
        <w:t>)</w:t>
      </w:r>
      <w:r w:rsidR="00433D9A">
        <w:t xml:space="preserve"> — Продовольственная и сельскохозяйственная организация ООН</w:t>
      </w:r>
      <w:r w:rsidR="00433D9A">
        <w:br/>
      </w:r>
      <w:r w:rsidR="00433D9A">
        <w:rPr>
          <w:rStyle w:val="Strong"/>
        </w:rPr>
        <w:t>IFBs</w:t>
      </w:r>
      <w:r w:rsidR="00433D9A">
        <w:t xml:space="preserve"> — международные правовые инструменты и рамки, а также соответствующие глобальные, региональные, субрегиональные и секторальные органы</w:t>
      </w:r>
      <w:r w:rsidR="00433D9A">
        <w:br/>
      </w:r>
      <w:r w:rsidR="007A20AC">
        <w:rPr>
          <w:rStyle w:val="Strong"/>
          <w:lang w:val="ru-RU"/>
        </w:rPr>
        <w:t>ИМО (</w:t>
      </w:r>
      <w:r w:rsidR="00433D9A">
        <w:rPr>
          <w:rStyle w:val="Strong"/>
        </w:rPr>
        <w:t>IMO</w:t>
      </w:r>
      <w:r w:rsidR="007A20AC">
        <w:rPr>
          <w:rStyle w:val="Strong"/>
          <w:lang w:val="ru-RU"/>
        </w:rPr>
        <w:t>)</w:t>
      </w:r>
      <w:r w:rsidR="00433D9A">
        <w:t xml:space="preserve"> — Международная морская организация</w:t>
      </w:r>
      <w:r w:rsidR="00433D9A">
        <w:br/>
      </w:r>
      <w:r w:rsidR="007A20AC">
        <w:rPr>
          <w:rStyle w:val="Strong"/>
          <w:lang w:val="ru-RU"/>
        </w:rPr>
        <w:t>МОК-ЮНЕСКО (</w:t>
      </w:r>
      <w:r w:rsidR="00433D9A">
        <w:rPr>
          <w:rStyle w:val="Strong"/>
        </w:rPr>
        <w:t>IOC-UNESCO</w:t>
      </w:r>
      <w:r w:rsidR="007A20AC">
        <w:rPr>
          <w:rStyle w:val="Strong"/>
          <w:lang w:val="ru-RU"/>
        </w:rPr>
        <w:t>)</w:t>
      </w:r>
      <w:r w:rsidR="00433D9A">
        <w:t xml:space="preserve"> — Межправительственная океанографическая комиссия ЮНЕСКО</w:t>
      </w:r>
      <w:r w:rsidR="00433D9A">
        <w:br/>
      </w:r>
      <w:r w:rsidR="00433D9A">
        <w:rPr>
          <w:rStyle w:val="Strong"/>
        </w:rPr>
        <w:t>IP&amp;LCs</w:t>
      </w:r>
      <w:r w:rsidR="00433D9A">
        <w:t xml:space="preserve"> — коренные народы и местные общины</w:t>
      </w:r>
      <w:r w:rsidR="00433D9A">
        <w:br/>
      </w:r>
      <w:r w:rsidR="007A20AC">
        <w:rPr>
          <w:rStyle w:val="Strong"/>
          <w:lang w:val="ru-RU"/>
        </w:rPr>
        <w:t>МОМД (</w:t>
      </w:r>
      <w:r w:rsidR="00433D9A">
        <w:rPr>
          <w:rStyle w:val="Strong"/>
        </w:rPr>
        <w:t>ISA</w:t>
      </w:r>
      <w:r w:rsidR="00E37237">
        <w:rPr>
          <w:rStyle w:val="Strong"/>
          <w:lang w:val="ru-RU"/>
        </w:rPr>
        <w:t>)</w:t>
      </w:r>
      <w:r w:rsidR="00433D9A">
        <w:t xml:space="preserve"> — Международное управление морским дном</w:t>
      </w:r>
      <w:r w:rsidR="00433D9A">
        <w:br/>
      </w:r>
      <w:r w:rsidR="00433D9A">
        <w:rPr>
          <w:rStyle w:val="Strong"/>
        </w:rPr>
        <w:t>IUCN</w:t>
      </w:r>
      <w:r w:rsidR="00433D9A">
        <w:t xml:space="preserve"> — Международный союз охраны природы</w:t>
      </w:r>
      <w:r w:rsidR="00433D9A">
        <w:br/>
      </w:r>
      <w:r w:rsidR="00E37237">
        <w:rPr>
          <w:rStyle w:val="Strong"/>
          <w:lang w:val="ru-RU"/>
        </w:rPr>
        <w:t>МГР (</w:t>
      </w:r>
      <w:r w:rsidR="00433D9A">
        <w:rPr>
          <w:rStyle w:val="Strong"/>
        </w:rPr>
        <w:t>MGR</w:t>
      </w:r>
      <w:r w:rsidR="00E37237">
        <w:rPr>
          <w:rStyle w:val="Strong"/>
          <w:lang w:val="ru-RU"/>
        </w:rPr>
        <w:t>)</w:t>
      </w:r>
      <w:r w:rsidR="00433D9A">
        <w:t xml:space="preserve"> — морские генетические ресурсы</w:t>
      </w:r>
      <w:r w:rsidR="00433D9A">
        <w:br/>
      </w:r>
      <w:r w:rsidR="00E37237">
        <w:rPr>
          <w:rStyle w:val="Strong"/>
          <w:lang w:val="ru-RU"/>
        </w:rPr>
        <w:t>РФМО (</w:t>
      </w:r>
      <w:r w:rsidR="00433D9A">
        <w:rPr>
          <w:rStyle w:val="Strong"/>
        </w:rPr>
        <w:t>RFMO</w:t>
      </w:r>
      <w:r w:rsidR="00E37237">
        <w:rPr>
          <w:rStyle w:val="Strong"/>
          <w:lang w:val="ru-RU"/>
        </w:rPr>
        <w:t>)</w:t>
      </w:r>
      <w:r w:rsidR="00433D9A">
        <w:t xml:space="preserve"> — региональные организации по управлению рыболовством</w:t>
      </w:r>
      <w:r w:rsidR="00433D9A">
        <w:br/>
      </w:r>
      <w:r w:rsidR="00E37237">
        <w:rPr>
          <w:rStyle w:val="Strong"/>
          <w:lang w:val="ru-RU"/>
        </w:rPr>
        <w:t>ЮНКЛОС (</w:t>
      </w:r>
      <w:r w:rsidR="00433D9A">
        <w:rPr>
          <w:rStyle w:val="Strong"/>
        </w:rPr>
        <w:t>UNCLOS</w:t>
      </w:r>
      <w:r w:rsidR="00E37237">
        <w:rPr>
          <w:rStyle w:val="Strong"/>
          <w:lang w:val="ru-RU"/>
        </w:rPr>
        <w:t>)</w:t>
      </w:r>
      <w:r w:rsidR="00433D9A">
        <w:t xml:space="preserve"> — Конвенция ООН по морскому праву</w:t>
      </w:r>
      <w:r w:rsidR="00433D9A">
        <w:br/>
      </w:r>
      <w:r w:rsidR="00E37237">
        <w:rPr>
          <w:rStyle w:val="Strong"/>
          <w:lang w:val="ru-RU"/>
        </w:rPr>
        <w:t>РКИК ООН (</w:t>
      </w:r>
      <w:r w:rsidR="00433D9A">
        <w:rPr>
          <w:rStyle w:val="Strong"/>
        </w:rPr>
        <w:t>UNFCCC</w:t>
      </w:r>
      <w:r w:rsidR="00E37237">
        <w:rPr>
          <w:rStyle w:val="Strong"/>
          <w:lang w:val="ru-RU"/>
        </w:rPr>
        <w:t>)</w:t>
      </w:r>
      <w:r w:rsidR="00433D9A">
        <w:t xml:space="preserve"> — Рамочная конвенция ООН об изменении климата</w:t>
      </w:r>
      <w:r w:rsidR="00433D9A">
        <w:br/>
      </w:r>
      <w:r w:rsidR="00E37237">
        <w:rPr>
          <w:rStyle w:val="Strong"/>
          <w:lang w:val="ru-RU"/>
        </w:rPr>
        <w:t>ВОЗ (</w:t>
      </w:r>
      <w:r w:rsidR="00433D9A">
        <w:rPr>
          <w:rStyle w:val="Strong"/>
        </w:rPr>
        <w:t>WHO</w:t>
      </w:r>
      <w:r w:rsidR="00E37237">
        <w:rPr>
          <w:rStyle w:val="Strong"/>
          <w:lang w:val="ru-RU"/>
        </w:rPr>
        <w:t>)</w:t>
      </w:r>
      <w:r w:rsidR="00433D9A">
        <w:t xml:space="preserve"> — Всемирная организация здравоохранения</w:t>
      </w:r>
      <w:r w:rsidR="00433D9A">
        <w:br/>
      </w:r>
      <w:r w:rsidR="00E37237">
        <w:rPr>
          <w:rStyle w:val="Strong"/>
          <w:lang w:val="ru-RU"/>
        </w:rPr>
        <w:t>ВОИС (</w:t>
      </w:r>
      <w:r w:rsidR="00433D9A">
        <w:rPr>
          <w:rStyle w:val="Strong"/>
        </w:rPr>
        <w:t>WIPO</w:t>
      </w:r>
      <w:r w:rsidR="00E37237">
        <w:rPr>
          <w:rStyle w:val="Strong"/>
          <w:lang w:val="ru-RU"/>
        </w:rPr>
        <w:t>)</w:t>
      </w:r>
      <w:r w:rsidR="00433D9A">
        <w:t xml:space="preserve"> — Всемирная организация интеллектуальной собственности</w:t>
      </w:r>
      <w:r w:rsidR="00433D9A">
        <w:br/>
      </w:r>
      <w:r w:rsidR="00E37237">
        <w:rPr>
          <w:rStyle w:val="Strong"/>
          <w:lang w:val="ru-RU"/>
        </w:rPr>
        <w:t>ВТО (</w:t>
      </w:r>
      <w:r w:rsidR="00433D9A">
        <w:rPr>
          <w:rStyle w:val="Strong"/>
        </w:rPr>
        <w:t>WTO</w:t>
      </w:r>
      <w:r w:rsidR="00E37237">
        <w:rPr>
          <w:rStyle w:val="Strong"/>
          <w:lang w:val="ru-RU"/>
        </w:rPr>
        <w:t>)</w:t>
      </w:r>
      <w:r w:rsidR="00433D9A">
        <w:t xml:space="preserve"> — Всемирная торговая организация</w:t>
      </w:r>
    </w:p>
    <w:p w:rsidR="00433D9A" w:rsidRDefault="00433D9A"/>
    <w:p w:rsidR="00433D9A" w:rsidRPr="008F05B5" w:rsidRDefault="00433D9A">
      <w:pPr>
        <w:rPr>
          <w:rFonts w:eastAsia="Times New Roman" w:cs="Times New Roman"/>
          <w:kern w:val="0"/>
          <w14:ligatures w14:val="none"/>
        </w:rPr>
      </w:pPr>
    </w:p>
    <w:p w:rsidR="00763A58" w:rsidRPr="008F05B5" w:rsidRDefault="00763A58" w:rsidP="00763A58">
      <w:pPr>
        <w:pStyle w:val="Heading2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8F05B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Политический обзор</w:t>
      </w:r>
    </w:p>
    <w:p w:rsidR="00B960FF" w:rsidRDefault="00B960FF" w:rsidP="00B960FF">
      <w:pPr>
        <w:pStyle w:val="NormalWeb"/>
      </w:pPr>
      <w:r>
        <w:t>Данный политический обзор подготовлен на основе материалов воркшопа «Реализация нового океанического договора ООН по биоразнообразию за пределами национальной юрисдикции» (</w:t>
      </w:r>
      <w:r w:rsidRPr="00B960FF">
        <w:rPr>
          <w:i/>
          <w:iCs/>
        </w:rPr>
        <w:t>Implementing the New UN BBNJ Ocean Treaty</w:t>
      </w:r>
      <w:r>
        <w:t xml:space="preserve">), состоявшегося в июле 2025 </w:t>
      </w:r>
      <w:r>
        <w:lastRenderedPageBreak/>
        <w:t>года. Мероприятие было проведено при со-спонсорстве Университета Абердина, Коллектива по биоразнообразию океанов Лондонской школы экономики (</w:t>
      </w:r>
      <w:r w:rsidRPr="00B960FF">
        <w:rPr>
          <w:i/>
          <w:iCs/>
        </w:rPr>
        <w:t>Oceans Biodiversity Collective</w:t>
      </w:r>
      <w:r>
        <w:t xml:space="preserve">), а также при поддержке проектов ЕС </w:t>
      </w:r>
      <w:r w:rsidRPr="00B960FF">
        <w:rPr>
          <w:i/>
          <w:iCs/>
        </w:rPr>
        <w:t>BlueRemediomics</w:t>
      </w:r>
      <w:r>
        <w:t xml:space="preserve">, </w:t>
      </w:r>
      <w:r w:rsidRPr="00B960FF">
        <w:rPr>
          <w:i/>
          <w:iCs/>
        </w:rPr>
        <w:t>HOTBIO</w:t>
      </w:r>
      <w:r>
        <w:t xml:space="preserve">, </w:t>
      </w:r>
      <w:r w:rsidRPr="00B960FF">
        <w:rPr>
          <w:i/>
          <w:iCs/>
        </w:rPr>
        <w:t>MARBLES</w:t>
      </w:r>
      <w:r>
        <w:t xml:space="preserve"> и инициативы </w:t>
      </w:r>
      <w:r w:rsidRPr="00B960FF">
        <w:rPr>
          <w:i/>
          <w:iCs/>
        </w:rPr>
        <w:t>DOSI</w:t>
      </w:r>
      <w:r>
        <w:t>.</w:t>
      </w:r>
    </w:p>
    <w:p w:rsidR="00763A58" w:rsidRDefault="00763A58" w:rsidP="00B960FF">
      <w:pPr>
        <w:pStyle w:val="NormalWeb"/>
      </w:pPr>
      <w:r w:rsidRPr="00B960FF">
        <w:rPr>
          <w:b/>
          <w:bCs/>
        </w:rPr>
        <w:t>Подготовлено членами DOSI</w:t>
      </w:r>
    </w:p>
    <w:p w:rsidR="00763A58" w:rsidRDefault="00B960FF" w:rsidP="008F05B5">
      <w:pPr>
        <w:jc w:val="both"/>
      </w:pPr>
      <w:r>
        <w:t>Аббе Браун, Закие Тагизаде, Кэти Браун, Дэвид Онг,</w:t>
      </w:r>
      <w:r w:rsidRPr="00B960FF">
        <w:t xml:space="preserve"> </w:t>
      </w:r>
      <w:r>
        <w:t>Роберт Блазиак, Саския Брикс-Эльсиг, Люси Харрис, Митчелл Леннан,</w:t>
      </w:r>
      <w:r w:rsidRPr="00B960FF">
        <w:t xml:space="preserve"> </w:t>
      </w:r>
      <w:r>
        <w:t>Мэтью Карвалью, Энрике Маркос, Энтони Бэнни,</w:t>
      </w:r>
      <w:r>
        <w:br/>
        <w:t>Лусиана Фернандес Коэльо, Анурит Каур, Абхая Кумар Бехера,</w:t>
      </w:r>
      <w:r w:rsidRPr="00B960FF">
        <w:t xml:space="preserve"> </w:t>
      </w:r>
      <w:r>
        <w:t xml:space="preserve">Даниэль Смит и Махатаб Уддин, </w:t>
      </w:r>
      <w:r w:rsidRPr="00B960FF">
        <w:rPr>
          <w:rStyle w:val="Strong"/>
          <w:b w:val="0"/>
          <w:bCs w:val="0"/>
        </w:rPr>
        <w:t>при поддержке</w:t>
      </w:r>
      <w:r w:rsidRPr="00B960FF">
        <w:rPr>
          <w:b/>
          <w:bCs/>
        </w:rPr>
        <w:t xml:space="preserve"> </w:t>
      </w:r>
      <w:r w:rsidRPr="00B960FF">
        <w:t>Керстин Крёгер, Даниэль де Йонг</w:t>
      </w:r>
      <w:r w:rsidRPr="00B960FF">
        <w:rPr>
          <w:b/>
          <w:bCs/>
        </w:rPr>
        <w:t xml:space="preserve">, </w:t>
      </w:r>
      <w:r w:rsidRPr="00B960FF">
        <w:rPr>
          <w:rStyle w:val="Strong"/>
          <w:b w:val="0"/>
          <w:bCs w:val="0"/>
        </w:rPr>
        <w:t>Офиса DOSI</w:t>
      </w:r>
      <w:r w:rsidRPr="00B960FF">
        <w:rPr>
          <w:b/>
          <w:bCs/>
        </w:rPr>
        <w:t>,</w:t>
      </w:r>
      <w:r w:rsidRPr="00B960FF">
        <w:rPr>
          <w:b/>
          <w:bCs/>
        </w:rPr>
        <w:t xml:space="preserve"> </w:t>
      </w:r>
      <w:r w:rsidRPr="00B960FF">
        <w:t>а также</w:t>
      </w:r>
      <w:r w:rsidRPr="00B960FF">
        <w:rPr>
          <w:b/>
          <w:bCs/>
        </w:rPr>
        <w:t xml:space="preserve"> </w:t>
      </w:r>
      <w:r w:rsidRPr="00B960FF">
        <w:rPr>
          <w:rStyle w:val="Strong"/>
          <w:b w:val="0"/>
          <w:bCs w:val="0"/>
        </w:rPr>
        <w:t xml:space="preserve">Рабочих групп по морским генетическим ресурсам (МГР) и </w:t>
      </w:r>
      <w:r>
        <w:rPr>
          <w:rStyle w:val="Strong"/>
          <w:b w:val="0"/>
          <w:bCs w:val="0"/>
          <w:lang w:val="ru-RU"/>
        </w:rPr>
        <w:t>Соглашения.</w:t>
      </w:r>
      <w:r w:rsidR="00616F57">
        <w:rPr>
          <w:noProof/>
        </w:rPr>
        <w:pict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763A58" w:rsidRPr="0019090A" w:rsidRDefault="00763A58" w:rsidP="00763A58">
      <w:pPr>
        <w:pStyle w:val="Heading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</w:pPr>
      <w:r w:rsidRPr="0019090A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О DOSI</w:t>
      </w:r>
    </w:p>
    <w:p w:rsidR="00763A58" w:rsidRDefault="00763A58" w:rsidP="008F05B5">
      <w:pPr>
        <w:pStyle w:val="NormalWeb"/>
        <w:jc w:val="both"/>
      </w:pPr>
      <w:r>
        <w:t xml:space="preserve">Инициатива по управлению глубоководными экосистемами (Deep-Ocean Stewardship Initiative, </w:t>
      </w:r>
      <w:r w:rsidRPr="008F05B5">
        <w:rPr>
          <w:rFonts w:eastAsiaTheme="minorHAnsi" w:cstheme="minorBidi"/>
          <w:kern w:val="2"/>
          <w14:ligatures w14:val="standardContextual"/>
        </w:rPr>
        <w:t xml:space="preserve">DOSI) — это глобальная сеть экспертов, </w:t>
      </w:r>
      <w:r w:rsidR="008F05B5" w:rsidRPr="008F05B5">
        <w:rPr>
          <w:rFonts w:eastAsiaTheme="minorHAnsi" w:cstheme="minorBidi"/>
          <w:kern w:val="2"/>
          <w14:ligatures w14:val="standardContextual"/>
        </w:rPr>
        <w:t>котор</w:t>
      </w:r>
      <w:r w:rsidR="008F05B5" w:rsidRPr="008F05B5">
        <w:rPr>
          <w:rFonts w:eastAsiaTheme="minorHAnsi" w:cstheme="minorBidi"/>
          <w:kern w:val="2"/>
          <w14:ligatures w14:val="standardContextual"/>
        </w:rPr>
        <w:t>а</w:t>
      </w:r>
      <w:r w:rsidR="008F05B5" w:rsidRPr="008F05B5">
        <w:rPr>
          <w:rFonts w:eastAsiaTheme="minorHAnsi" w:cstheme="minorBidi"/>
          <w:kern w:val="2"/>
          <w14:ligatures w14:val="standardContextual"/>
        </w:rPr>
        <w:t>е объединя</w:t>
      </w:r>
      <w:r w:rsidR="008F05B5" w:rsidRPr="008F05B5">
        <w:rPr>
          <w:rFonts w:eastAsiaTheme="minorHAnsi" w:cstheme="minorBidi"/>
          <w:kern w:val="2"/>
          <w14:ligatures w14:val="standardContextual"/>
        </w:rPr>
        <w:t>е</w:t>
      </w:r>
      <w:r w:rsidR="008F05B5" w:rsidRPr="008F05B5">
        <w:rPr>
          <w:rFonts w:eastAsiaTheme="minorHAnsi" w:cstheme="minorBidi"/>
          <w:kern w:val="2"/>
          <w14:ligatures w14:val="standardContextual"/>
        </w:rPr>
        <w:t>т науку, технологию, политику, право и экономику для консультирования по вопросам экосистемного управления использованием ресурсов в глубоководных районах океана и разработки стратегий по поддержанию целостности глубоководных экосистем в пределах и за пределами национальной юрисдикции.</w:t>
      </w:r>
      <w:r w:rsidR="008F05B5">
        <w:rPr>
          <w:noProof/>
        </w:rPr>
        <w:t xml:space="preserve"> </w:t>
      </w:r>
      <w:r w:rsidR="00616F57" w:rsidRPr="00616F57">
        <w:rPr>
          <w:noProof/>
          <w14:ligatures w14:val="standardContextual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763A58" w:rsidRPr="0019090A" w:rsidRDefault="00763A58" w:rsidP="00763A58">
      <w:pPr>
        <w:pStyle w:val="Heading2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19090A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Рекомендуемая литература</w:t>
      </w:r>
    </w:p>
    <w:p w:rsidR="00763A58" w:rsidRDefault="00B960FF" w:rsidP="00763A58">
      <w:pPr>
        <w:pStyle w:val="NormalWeb"/>
        <w:numPr>
          <w:ilvl w:val="0"/>
          <w:numId w:val="8"/>
        </w:numPr>
      </w:pPr>
      <w:r w:rsidRPr="00B960FF">
        <w:rPr>
          <w:lang w:val="ru-RU"/>
        </w:rPr>
        <w:t>Бранко</w:t>
      </w:r>
      <w:r w:rsidRPr="00B960FF">
        <w:rPr>
          <w:lang w:val="en-US"/>
        </w:rPr>
        <w:t xml:space="preserve"> </w:t>
      </w:r>
      <w:r w:rsidRPr="00B960FF">
        <w:rPr>
          <w:lang w:val="ru-RU"/>
        </w:rPr>
        <w:t>дэ</w:t>
      </w:r>
      <w:r w:rsidRPr="00B960FF">
        <w:rPr>
          <w:lang w:val="en-US"/>
        </w:rPr>
        <w:t xml:space="preserve"> </w:t>
      </w:r>
      <w:proofErr w:type="spellStart"/>
      <w:r w:rsidRPr="00B960FF">
        <w:rPr>
          <w:lang w:val="ru-RU"/>
        </w:rPr>
        <w:t>Альмейда</w:t>
      </w:r>
      <w:proofErr w:type="spellEnd"/>
      <w:r w:rsidR="00763A58">
        <w:t xml:space="preserve"> (2025). </w:t>
      </w:r>
      <w:r w:rsidR="00763A58">
        <w:rPr>
          <w:rStyle w:val="Emphasis"/>
        </w:rPr>
        <w:t>Новая нормативная база в рамках Соглашения BBNJ по морским генетическим ресурсам и материальное исключение для рыболовной деятельности</w:t>
      </w:r>
      <w:r w:rsidR="00763A58">
        <w:t>.</w:t>
      </w:r>
    </w:p>
    <w:p w:rsidR="00763A58" w:rsidRDefault="00B960FF" w:rsidP="00763A58">
      <w:pPr>
        <w:pStyle w:val="NormalWeb"/>
        <w:numPr>
          <w:ilvl w:val="0"/>
          <w:numId w:val="8"/>
        </w:numPr>
      </w:pPr>
      <w:r>
        <w:t>Кёрри и Мюллер</w:t>
      </w:r>
      <w:r w:rsidR="00763A58">
        <w:t xml:space="preserve"> (2025). </w:t>
      </w:r>
      <w:r w:rsidR="00763A58">
        <w:rPr>
          <w:rStyle w:val="Emphasis"/>
        </w:rPr>
        <w:t>Управление морским биоразнообразием за пределами национальной юрисдикции: Соглашение BBNJ и Международное управление морским дном (ISA)</w:t>
      </w:r>
      <w:r w:rsidR="00763A58">
        <w:t>.</w:t>
      </w:r>
    </w:p>
    <w:p w:rsidR="00763A58" w:rsidRDefault="00B960FF" w:rsidP="00763A58">
      <w:pPr>
        <w:pStyle w:val="NormalWeb"/>
        <w:numPr>
          <w:ilvl w:val="0"/>
          <w:numId w:val="8"/>
        </w:numPr>
      </w:pPr>
      <w:proofErr w:type="spellStart"/>
      <w:r>
        <w:rPr>
          <w:lang w:val="ru-RU"/>
        </w:rPr>
        <w:t>Хамфриз</w:t>
      </w:r>
      <w:proofErr w:type="spellEnd"/>
      <w:r>
        <w:rPr>
          <w:lang w:val="ru-RU"/>
        </w:rPr>
        <w:t xml:space="preserve"> </w:t>
      </w:r>
      <w:r w:rsidR="00763A58">
        <w:t xml:space="preserve">(ред.) (2025). </w:t>
      </w:r>
      <w:r w:rsidR="00763A58">
        <w:rPr>
          <w:rStyle w:val="Emphasis"/>
        </w:rPr>
        <w:t>Расшифровка управления морскими генетическими ресурсами в рамках Соглашения BBNJ</w:t>
      </w:r>
      <w:r w:rsidR="00763A58">
        <w:t>.</w:t>
      </w:r>
    </w:p>
    <w:p w:rsidR="00763A58" w:rsidRDefault="00B960FF" w:rsidP="00763A58">
      <w:pPr>
        <w:pStyle w:val="NormalWeb"/>
        <w:numPr>
          <w:ilvl w:val="0"/>
          <w:numId w:val="8"/>
        </w:numPr>
      </w:pPr>
      <w:proofErr w:type="spellStart"/>
      <w:r w:rsidRPr="00B960FF">
        <w:rPr>
          <w:lang w:val="ru-RU"/>
        </w:rPr>
        <w:t>Сетт</w:t>
      </w:r>
      <w:proofErr w:type="spellEnd"/>
      <w:r w:rsidRPr="00B960FF">
        <w:rPr>
          <w:lang w:val="ru-RU"/>
        </w:rPr>
        <w:t xml:space="preserve"> и </w:t>
      </w:r>
      <w:proofErr w:type="spellStart"/>
      <w:r w:rsidRPr="00B960FF">
        <w:rPr>
          <w:lang w:val="ru-RU"/>
        </w:rPr>
        <w:t>др</w:t>
      </w:r>
      <w:proofErr w:type="spellEnd"/>
      <w:r w:rsidR="00763A58" w:rsidRPr="00B960FF">
        <w:t>.</w:t>
      </w:r>
      <w:r w:rsidR="00763A58">
        <w:t xml:space="preserve"> (2024). </w:t>
      </w:r>
      <w:r w:rsidR="00763A58">
        <w:rPr>
          <w:rStyle w:val="Emphasis"/>
        </w:rPr>
        <w:t>Гармонизация правил распределения выгод, связанных с цифровой последовательной информацией (DSI), в рамках структур ООН</w:t>
      </w:r>
      <w:r w:rsidR="00763A58">
        <w:t>.</w:t>
      </w:r>
    </w:p>
    <w:p w:rsidR="00763A58" w:rsidRDefault="00616F57" w:rsidP="00763A58">
      <w:r>
        <w:rPr>
          <w:noProof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763A58" w:rsidRPr="0019090A" w:rsidRDefault="00763A58" w:rsidP="00763A58">
      <w:pPr>
        <w:pStyle w:val="Heading2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19090A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t>Как цитировать</w:t>
      </w:r>
    </w:p>
    <w:p w:rsidR="00763A58" w:rsidRDefault="00763A58" w:rsidP="00763A58">
      <w:pPr>
        <w:pStyle w:val="NormalWeb"/>
      </w:pPr>
      <w:r w:rsidRPr="00AE700E">
        <w:rPr>
          <w:rStyle w:val="Strong"/>
          <w:b w:val="0"/>
          <w:bCs w:val="0"/>
        </w:rPr>
        <w:t>DOSI (2025).</w:t>
      </w:r>
      <w:r>
        <w:t xml:space="preserve"> </w:t>
      </w:r>
      <w:r>
        <w:rPr>
          <w:rStyle w:val="Emphasis"/>
        </w:rPr>
        <w:t>Towards coherence and avoiding undermining: policy recommendations on implementation of the BBNJ Agreement regarding Marine Genetic Resources</w:t>
      </w:r>
      <w:r>
        <w:t xml:space="preserve"> — Политический обзор.Deep-Ocean Stewardship Initiative.</w:t>
      </w:r>
    </w:p>
    <w:p w:rsidR="00763A58" w:rsidRDefault="00616F57" w:rsidP="00763A58">
      <w:r>
        <w:rPr>
          <w:noProof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763A58" w:rsidRPr="0019090A" w:rsidRDefault="00763A58" w:rsidP="00763A58">
      <w:pPr>
        <w:pStyle w:val="Heading2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  <w:r w:rsidRPr="0019090A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14:ligatures w14:val="none"/>
        </w:rPr>
        <w:lastRenderedPageBreak/>
        <w:t>Контакты</w:t>
      </w:r>
    </w:p>
    <w:p w:rsidR="00763A58" w:rsidRDefault="00763A58" w:rsidP="00763A58">
      <w:pPr>
        <w:pStyle w:val="NormalWeb"/>
      </w:pPr>
      <w:r>
        <w:rPr>
          <w:rStyle w:val="Strong"/>
        </w:rPr>
        <w:t>DOSIcomms@gmail.com</w:t>
      </w:r>
    </w:p>
    <w:p w:rsidR="00763A58" w:rsidRDefault="00763A58" w:rsidP="00763A58">
      <w:pPr>
        <w:pStyle w:val="NormalWeb"/>
      </w:pPr>
      <w:r>
        <w:br/>
      </w:r>
    </w:p>
    <w:p w:rsidR="00763A58" w:rsidRDefault="00763A58"/>
    <w:sectPr w:rsidR="00763A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@≤B">
    <w:altName w:val="Calibri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0D29"/>
    <w:multiLevelType w:val="multilevel"/>
    <w:tmpl w:val="3B06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B2CBF"/>
    <w:multiLevelType w:val="multilevel"/>
    <w:tmpl w:val="CD8E49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F50C6"/>
    <w:multiLevelType w:val="multilevel"/>
    <w:tmpl w:val="332EF4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F14CB"/>
    <w:multiLevelType w:val="multilevel"/>
    <w:tmpl w:val="AA10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720D2"/>
    <w:multiLevelType w:val="multilevel"/>
    <w:tmpl w:val="B296B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137EBE"/>
    <w:multiLevelType w:val="multilevel"/>
    <w:tmpl w:val="149044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8097A"/>
    <w:multiLevelType w:val="multilevel"/>
    <w:tmpl w:val="3B06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254C9"/>
    <w:multiLevelType w:val="hybridMultilevel"/>
    <w:tmpl w:val="B8564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21889"/>
    <w:multiLevelType w:val="multilevel"/>
    <w:tmpl w:val="FE583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F81593"/>
    <w:multiLevelType w:val="multilevel"/>
    <w:tmpl w:val="CA2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9032DD"/>
    <w:multiLevelType w:val="multilevel"/>
    <w:tmpl w:val="07CEC1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1E0CA5"/>
    <w:multiLevelType w:val="multilevel"/>
    <w:tmpl w:val="9F7A9F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96737F"/>
    <w:multiLevelType w:val="multilevel"/>
    <w:tmpl w:val="2ECA8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1800392">
    <w:abstractNumId w:val="0"/>
  </w:num>
  <w:num w:numId="2" w16cid:durableId="153255461">
    <w:abstractNumId w:val="4"/>
  </w:num>
  <w:num w:numId="3" w16cid:durableId="1557282355">
    <w:abstractNumId w:val="12"/>
  </w:num>
  <w:num w:numId="4" w16cid:durableId="1918247534">
    <w:abstractNumId w:val="10"/>
  </w:num>
  <w:num w:numId="5" w16cid:durableId="787774290">
    <w:abstractNumId w:val="1"/>
  </w:num>
  <w:num w:numId="6" w16cid:durableId="263465232">
    <w:abstractNumId w:val="5"/>
  </w:num>
  <w:num w:numId="7" w16cid:durableId="2137210393">
    <w:abstractNumId w:val="11"/>
  </w:num>
  <w:num w:numId="8" w16cid:durableId="1050884102">
    <w:abstractNumId w:val="3"/>
  </w:num>
  <w:num w:numId="9" w16cid:durableId="2053534789">
    <w:abstractNumId w:val="6"/>
  </w:num>
  <w:num w:numId="10" w16cid:durableId="254292168">
    <w:abstractNumId w:val="2"/>
  </w:num>
  <w:num w:numId="11" w16cid:durableId="1482577250">
    <w:abstractNumId w:val="7"/>
  </w:num>
  <w:num w:numId="12" w16cid:durableId="215775264">
    <w:abstractNumId w:val="9"/>
  </w:num>
  <w:num w:numId="13" w16cid:durableId="12088813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58"/>
    <w:rsid w:val="000405AC"/>
    <w:rsid w:val="00142524"/>
    <w:rsid w:val="001770CD"/>
    <w:rsid w:val="0019090A"/>
    <w:rsid w:val="002D0DA9"/>
    <w:rsid w:val="0030058B"/>
    <w:rsid w:val="003861E8"/>
    <w:rsid w:val="00433D9A"/>
    <w:rsid w:val="00494820"/>
    <w:rsid w:val="004F6034"/>
    <w:rsid w:val="0054271B"/>
    <w:rsid w:val="00596AC1"/>
    <w:rsid w:val="00616F57"/>
    <w:rsid w:val="006C44F1"/>
    <w:rsid w:val="00763A58"/>
    <w:rsid w:val="007A20AC"/>
    <w:rsid w:val="008F05B5"/>
    <w:rsid w:val="00973C80"/>
    <w:rsid w:val="009D3D41"/>
    <w:rsid w:val="00AE700E"/>
    <w:rsid w:val="00B05A49"/>
    <w:rsid w:val="00B960FF"/>
    <w:rsid w:val="00CF3DFB"/>
    <w:rsid w:val="00DD628B"/>
    <w:rsid w:val="00E37237"/>
    <w:rsid w:val="00E906E5"/>
    <w:rsid w:val="00EC46DC"/>
    <w:rsid w:val="00F424E0"/>
    <w:rsid w:val="00F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1FDECD"/>
  <w15:chartTrackingRefBased/>
  <w15:docId w15:val="{563D94E1-8714-FA4A-9624-157DA8EC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28B"/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A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63A58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D628B"/>
    <w:rPr>
      <w:i/>
      <w:iCs/>
    </w:rPr>
  </w:style>
  <w:style w:type="paragraph" w:styleId="NoSpacing">
    <w:name w:val="No Spacing"/>
    <w:uiPriority w:val="1"/>
    <w:qFormat/>
    <w:rsid w:val="00DD628B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D628B"/>
    <w:pPr>
      <w:ind w:left="720"/>
      <w:contextualSpacing/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63A5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763A58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63A5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A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nc2gd">
    <w:name w:val="rnc2gd"/>
    <w:basedOn w:val="Normal"/>
    <w:rsid w:val="0030058B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customStyle="1" w:styleId="rnc2gd1">
    <w:name w:val="rnc2gd1"/>
    <w:basedOn w:val="DefaultParagraphFont"/>
    <w:rsid w:val="0030058B"/>
  </w:style>
  <w:style w:type="character" w:customStyle="1" w:styleId="apple-converted-space">
    <w:name w:val="apple-converted-space"/>
    <w:basedOn w:val="DefaultParagraphFont"/>
    <w:rsid w:val="0019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791762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30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8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28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20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8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 zhibitayeva</dc:creator>
  <cp:keywords/>
  <dc:description/>
  <cp:lastModifiedBy>ayan zhibitayeva</cp:lastModifiedBy>
  <cp:revision>3</cp:revision>
  <dcterms:created xsi:type="dcterms:W3CDTF">2025-12-11T22:42:00Z</dcterms:created>
  <dcterms:modified xsi:type="dcterms:W3CDTF">2025-12-13T15:15:00Z</dcterms:modified>
</cp:coreProperties>
</file>